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淄博市投资促进局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政府信息公开工作年度报告</w:t>
      </w:r>
    </w:p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</w:p>
    <w:p>
      <w:pPr>
        <w:spacing w:line="520" w:lineRule="exact"/>
        <w:ind w:firstLine="588" w:firstLineChars="196"/>
        <w:rPr>
          <w:rFonts w:hint="default" w:ascii="仿宋_GB2312" w:hAnsi="宋体" w:eastAsia="仿宋_GB2312" w:cs="Arial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  <w:t>本报告是根据《中华人民共和国政府信息公开条例》要求，由淄博市投资促进局编制的201</w:t>
      </w:r>
      <w:r>
        <w:rPr>
          <w:rFonts w:hint="eastAsia" w:ascii="仿宋_GB2312" w:hAnsi="宋体" w:eastAsia="仿宋_GB2312" w:cs="Arial"/>
          <w:kern w:val="0"/>
          <w:sz w:val="30"/>
          <w:szCs w:val="30"/>
          <w:lang w:val="en-US" w:eastAsia="zh-CN"/>
        </w:rPr>
        <w:t>9</w:t>
      </w:r>
      <w:r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  <w:t>年政府信息公开工作年度报告。本报告内容分为六部分，所列数据的统计期限自201</w:t>
      </w:r>
      <w:r>
        <w:rPr>
          <w:rFonts w:hint="eastAsia" w:ascii="仿宋_GB2312" w:hAnsi="宋体" w:eastAsia="仿宋_GB2312" w:cs="Arial"/>
          <w:kern w:val="0"/>
          <w:sz w:val="30"/>
          <w:szCs w:val="30"/>
          <w:lang w:val="en-US" w:eastAsia="zh-CN"/>
        </w:rPr>
        <w:t>9</w:t>
      </w:r>
      <w:r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  <w:t>年1月1日起，至201</w:t>
      </w:r>
      <w:r>
        <w:rPr>
          <w:rFonts w:hint="eastAsia" w:ascii="仿宋_GB2312" w:hAnsi="宋体" w:eastAsia="仿宋_GB2312" w:cs="Arial"/>
          <w:kern w:val="0"/>
          <w:sz w:val="30"/>
          <w:szCs w:val="30"/>
          <w:lang w:val="en-US" w:eastAsia="zh-CN"/>
        </w:rPr>
        <w:t>9</w:t>
      </w:r>
      <w:r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  <w:t>年12月31日止。如对本报告有任何疑问，请联系淄博市投资促进局政府信息</w:t>
      </w:r>
      <w:r>
        <w:rPr>
          <w:rFonts w:hint="eastAsia" w:ascii="仿宋_GB2312" w:hAnsi="宋体" w:eastAsia="仿宋_GB2312" w:cs="Arial"/>
          <w:kern w:val="0"/>
          <w:sz w:val="30"/>
          <w:szCs w:val="30"/>
          <w:lang w:val="en-US" w:eastAsia="zh-CN"/>
        </w:rPr>
        <w:t>公开工作领导小组办公室</w:t>
      </w:r>
      <w:r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  <w:t>（地址：淄博市高新区柳泉路</w:t>
      </w:r>
      <w:r>
        <w:rPr>
          <w:rFonts w:hint="eastAsia" w:ascii="仿宋_GB2312" w:hAnsi="宋体" w:eastAsia="仿宋_GB2312" w:cs="Arial"/>
          <w:kern w:val="0"/>
          <w:sz w:val="30"/>
          <w:szCs w:val="30"/>
          <w:lang w:val="en-US" w:eastAsia="zh-CN"/>
        </w:rPr>
        <w:t>312号，邮编：255000，</w:t>
      </w:r>
      <w:r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  <w:t>电话：277</w:t>
      </w:r>
      <w:r>
        <w:rPr>
          <w:rFonts w:hint="eastAsia" w:ascii="仿宋_GB2312" w:hAnsi="宋体" w:eastAsia="仿宋_GB2312" w:cs="Arial"/>
          <w:kern w:val="0"/>
          <w:sz w:val="30"/>
          <w:szCs w:val="30"/>
          <w:lang w:val="en-US" w:eastAsia="zh-CN"/>
        </w:rPr>
        <w:t>7902,邮箱：zbstzcjjtztzk@zb.shandong.cn）。</w:t>
      </w:r>
    </w:p>
    <w:p>
      <w:pPr>
        <w:ind w:firstLine="562" w:firstLineChars="2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一、总体情况</w:t>
      </w:r>
    </w:p>
    <w:p>
      <w:pPr>
        <w:spacing w:line="520" w:lineRule="exact"/>
        <w:ind w:firstLine="588" w:firstLineChars="196"/>
        <w:rPr>
          <w:rFonts w:hint="eastAsia" w:ascii="仿宋_GB2312" w:hAnsi="宋体" w:eastAsia="仿宋_GB2312" w:cs="Arial"/>
          <w:kern w:val="0"/>
          <w:sz w:val="30"/>
          <w:szCs w:val="30"/>
        </w:rPr>
      </w:pPr>
      <w:r>
        <w:rPr>
          <w:rFonts w:hint="eastAsia" w:ascii="仿宋_GB2312" w:hAnsi="宋体" w:eastAsia="仿宋_GB2312" w:cs="Arial"/>
          <w:kern w:val="0"/>
          <w:sz w:val="30"/>
          <w:szCs w:val="30"/>
          <w:lang w:val="en-US" w:eastAsia="zh-CN"/>
        </w:rPr>
        <w:t>2019年，</w:t>
      </w:r>
      <w:r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  <w:t>淄博市投资促进局认真学习贯彻《中华人民共和国政府信息公开条例》、《山东省政府信息公开办法》和中央、省、市政府信息公开工作相关文件、领导讲话、政策法规等</w:t>
      </w:r>
      <w:r>
        <w:rPr>
          <w:rFonts w:hint="eastAsia" w:ascii="仿宋_GB2312" w:hAnsi="宋体" w:eastAsia="仿宋_GB2312" w:cs="Arial"/>
          <w:kern w:val="0"/>
          <w:sz w:val="30"/>
          <w:szCs w:val="30"/>
        </w:rPr>
        <w:t>，不断提高对推行政府信息公开重要意义的认识。</w:t>
      </w:r>
      <w:r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  <w:t>成立了以局长任组长、分管局长任副组长、各科室负责人为组员的</w:t>
      </w:r>
      <w:r>
        <w:rPr>
          <w:rFonts w:hint="eastAsia" w:ascii="仿宋_GB2312" w:hAnsi="宋体" w:eastAsia="仿宋_GB2312" w:cs="Arial"/>
          <w:kern w:val="0"/>
          <w:sz w:val="30"/>
          <w:szCs w:val="30"/>
          <w:lang w:val="en-US" w:eastAsia="zh-CN"/>
        </w:rPr>
        <w:t>政府信息公开工作领导小组</w:t>
      </w:r>
      <w:r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  <w:t>，并适时对成员进行调整，切实保证了该项工作的领导力量。配备兼职人员2人，协调政府信息公开过程中的重要问题，在整合网站、新媒体、新闻等力量，实现政府信息发布、依申请公开受理、政府信息咨询等工作一体化方面开展了大量工作。</w:t>
      </w:r>
      <w:r>
        <w:rPr>
          <w:rFonts w:hint="eastAsia" w:ascii="仿宋_GB2312" w:hAnsi="宋体" w:eastAsia="仿宋_GB2312" w:cs="Arial"/>
          <w:kern w:val="0"/>
          <w:sz w:val="30"/>
          <w:szCs w:val="30"/>
        </w:rPr>
        <w:t>加强政府信息公开工作制度建设，编制了淄博市</w:t>
      </w:r>
      <w:r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  <w:t>投资促进</w:t>
      </w:r>
      <w:r>
        <w:rPr>
          <w:rFonts w:hint="eastAsia" w:ascii="仿宋_GB2312" w:hAnsi="宋体" w:eastAsia="仿宋_GB2312" w:cs="Arial"/>
          <w:kern w:val="0"/>
          <w:sz w:val="30"/>
          <w:szCs w:val="30"/>
        </w:rPr>
        <w:t>局信息公开指南及目录，制定了主动公开制度、依申请公开制度等相关制度，进一步明确了信息公开工作责任追究制度。</w:t>
      </w:r>
    </w:p>
    <w:p>
      <w:pPr>
        <w:ind w:firstLine="620" w:firstLineChars="200"/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3D3D3D"/>
          <w:spacing w:val="0"/>
          <w:sz w:val="31"/>
          <w:szCs w:val="31"/>
          <w:u w:val="none"/>
        </w:rPr>
        <w:t>发布解读、回应社会关切以及互动交流情况</w:t>
      </w:r>
      <w:r>
        <w:rPr>
          <w:rFonts w:hint="eastAsia" w:ascii="楷体" w:hAnsi="楷体" w:eastAsia="楷体" w:cs="楷体"/>
          <w:i w:val="0"/>
          <w:caps w:val="0"/>
          <w:color w:val="3D3D3D"/>
          <w:spacing w:val="0"/>
          <w:sz w:val="31"/>
          <w:szCs w:val="31"/>
          <w:u w:val="none"/>
          <w:lang w:eastAsia="zh-CN"/>
        </w:rPr>
        <w:t>：</w:t>
      </w:r>
      <w:r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  <w:t>201</w:t>
      </w:r>
      <w:r>
        <w:rPr>
          <w:rFonts w:hint="eastAsia" w:ascii="仿宋_GB2312" w:hAnsi="宋体" w:eastAsia="仿宋_GB2312" w:cs="Arial"/>
          <w:kern w:val="0"/>
          <w:sz w:val="30"/>
          <w:szCs w:val="30"/>
          <w:lang w:val="en-US" w:eastAsia="zh-CN"/>
        </w:rPr>
        <w:t>9年，我局局长</w:t>
      </w:r>
      <w:r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  <w:t>信箱共收到网络留言</w:t>
      </w:r>
      <w:r>
        <w:rPr>
          <w:rFonts w:hint="eastAsia" w:ascii="仿宋_GB2312" w:hAnsi="宋体" w:eastAsia="仿宋_GB2312" w:cs="Arial"/>
          <w:kern w:val="0"/>
          <w:sz w:val="30"/>
          <w:szCs w:val="30"/>
          <w:lang w:val="en-US" w:eastAsia="zh-CN"/>
        </w:rPr>
        <w:t>6</w:t>
      </w:r>
      <w:r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  <w:t>次，均按相关流程予以回复，并在规定时间内办结。</w:t>
      </w:r>
    </w:p>
    <w:p>
      <w:pPr>
        <w:spacing w:line="520" w:lineRule="exact"/>
        <w:ind w:firstLine="620" w:firstLineChars="200"/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3D3D3D"/>
          <w:spacing w:val="0"/>
          <w:sz w:val="31"/>
          <w:szCs w:val="31"/>
          <w:u w:val="none"/>
        </w:rPr>
        <w:t>重点领域政府信息公开工作情况</w:t>
      </w:r>
      <w:r>
        <w:rPr>
          <w:rFonts w:hint="eastAsia" w:ascii="楷体" w:hAnsi="楷体" w:eastAsia="楷体" w:cs="楷体"/>
          <w:i w:val="0"/>
          <w:caps w:val="0"/>
          <w:color w:val="3D3D3D"/>
          <w:spacing w:val="0"/>
          <w:sz w:val="31"/>
          <w:szCs w:val="31"/>
          <w:u w:val="none"/>
          <w:lang w:eastAsia="zh-CN"/>
        </w:rPr>
        <w:t>：</w:t>
      </w:r>
      <w:r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  <w:t>按照市政府信息公开工作相关文件，本单位无重点领域政府信息公开工作任务。</w:t>
      </w:r>
    </w:p>
    <w:p>
      <w:pPr>
        <w:spacing w:line="520" w:lineRule="exact"/>
        <w:ind w:firstLine="620" w:firstLineChars="200"/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3D3D3D"/>
          <w:spacing w:val="0"/>
          <w:sz w:val="31"/>
          <w:szCs w:val="31"/>
          <w:u w:val="none"/>
        </w:rPr>
        <w:t>主动公开政府信息的主要类别</w:t>
      </w:r>
      <w:r>
        <w:rPr>
          <w:rFonts w:hint="eastAsia" w:ascii="仿宋_GB2312" w:hAnsi="宋体" w:eastAsia="仿宋_GB2312" w:cs="Arial"/>
          <w:bCs/>
          <w:kern w:val="0"/>
          <w:sz w:val="30"/>
          <w:szCs w:val="30"/>
        </w:rPr>
        <w:t>：</w:t>
      </w:r>
      <w:r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  <w:t>1、局领导分工、机构建设、主要职责；2、政策法规、通知公告；3、工作动态；4、机关效能建设；5、其他应主动公开的信息。</w:t>
      </w:r>
    </w:p>
    <w:p>
      <w:pPr>
        <w:spacing w:line="520" w:lineRule="exact"/>
        <w:ind w:firstLine="620" w:firstLineChars="200"/>
        <w:rPr>
          <w:rFonts w:hint="default" w:ascii="仿宋_GB2312" w:hAnsi="宋体" w:eastAsia="仿宋_GB2312" w:cs="Arial"/>
          <w:kern w:val="0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3D3D3D"/>
          <w:spacing w:val="0"/>
          <w:sz w:val="31"/>
          <w:szCs w:val="31"/>
          <w:u w:val="none"/>
          <w:lang w:eastAsia="zh-CN"/>
        </w:rPr>
        <w:t>主动公开政府</w:t>
      </w:r>
      <w:r>
        <w:rPr>
          <w:rFonts w:hint="eastAsia" w:ascii="楷体" w:hAnsi="楷体" w:eastAsia="楷体" w:cs="楷体"/>
          <w:i w:val="0"/>
          <w:caps w:val="0"/>
          <w:color w:val="3D3D3D"/>
          <w:spacing w:val="0"/>
          <w:sz w:val="31"/>
          <w:szCs w:val="31"/>
          <w:u w:val="none"/>
        </w:rPr>
        <w:t>信息的形式</w:t>
      </w:r>
      <w:r>
        <w:rPr>
          <w:rFonts w:hint="eastAsia" w:ascii="楷体" w:hAnsi="楷体" w:eastAsia="楷体" w:cs="楷体"/>
          <w:i w:val="0"/>
          <w:caps w:val="0"/>
          <w:color w:val="3D3D3D"/>
          <w:spacing w:val="0"/>
          <w:sz w:val="31"/>
          <w:szCs w:val="31"/>
          <w:u w:val="none"/>
          <w:lang w:eastAsia="zh-CN"/>
        </w:rPr>
        <w:t>及更新情况：</w:t>
      </w:r>
      <w:r>
        <w:rPr>
          <w:rFonts w:hint="eastAsia" w:ascii="仿宋_GB2312" w:hAnsi="宋体" w:eastAsia="仿宋_GB2312" w:cs="Arial"/>
          <w:kern w:val="0"/>
          <w:sz w:val="30"/>
          <w:szCs w:val="30"/>
          <w:lang w:val="en-US" w:eastAsia="zh-CN"/>
        </w:rPr>
        <w:t>1.</w:t>
      </w:r>
      <w:r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  <w:t>淄博市投资促进网（http://invest.zibo.gov.cn/）共计更新概况类和政务动态类信息</w:t>
      </w:r>
      <w:r>
        <w:rPr>
          <w:rFonts w:hint="eastAsia" w:ascii="仿宋_GB2312" w:hAnsi="宋体" w:eastAsia="仿宋_GB2312" w:cs="Arial"/>
          <w:kern w:val="0"/>
          <w:sz w:val="30"/>
          <w:szCs w:val="30"/>
          <w:lang w:val="en-US" w:eastAsia="zh-CN"/>
        </w:rPr>
        <w:t>376条</w:t>
      </w:r>
      <w:r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  <w:t>，</w:t>
      </w:r>
      <w:r>
        <w:rPr>
          <w:rFonts w:hint="eastAsia" w:ascii="仿宋_GB2312" w:hAnsi="宋体" w:eastAsia="仿宋_GB2312" w:cs="Arial"/>
          <w:kern w:val="0"/>
          <w:sz w:val="30"/>
          <w:szCs w:val="30"/>
          <w:lang w:val="en-US" w:eastAsia="zh-CN"/>
        </w:rPr>
        <w:t>2.</w:t>
      </w:r>
      <w:r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  <w:t>淄博市人民政府网站（http://www.zibo.gov.cn/）共计更新</w:t>
      </w:r>
      <w:r>
        <w:rPr>
          <w:rFonts w:hint="eastAsia" w:ascii="仿宋_GB2312" w:hAnsi="宋体" w:eastAsia="仿宋_GB2312" w:cs="Arial"/>
          <w:kern w:val="0"/>
          <w:sz w:val="30"/>
          <w:szCs w:val="30"/>
          <w:lang w:val="en-US" w:eastAsia="zh-CN"/>
        </w:rPr>
        <w:t>106条</w:t>
      </w:r>
      <w:r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  <w:t>，</w:t>
      </w:r>
      <w:r>
        <w:rPr>
          <w:rFonts w:hint="eastAsia" w:ascii="仿宋_GB2312" w:hAnsi="宋体" w:eastAsia="仿宋_GB2312" w:cs="Arial"/>
          <w:kern w:val="0"/>
          <w:sz w:val="30"/>
          <w:szCs w:val="30"/>
          <w:lang w:val="en-US" w:eastAsia="zh-CN"/>
        </w:rPr>
        <w:t>3.</w:t>
      </w:r>
      <w:r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  <w:t>政务新媒体（“投资淄博微博”、“投资淄博”微信公众号和“淄博招商”头条号）共计更新</w:t>
      </w:r>
      <w:r>
        <w:rPr>
          <w:rFonts w:hint="eastAsia" w:ascii="仿宋_GB2312" w:hAnsi="宋体" w:eastAsia="仿宋_GB2312" w:cs="Arial"/>
          <w:kern w:val="0"/>
          <w:sz w:val="30"/>
          <w:szCs w:val="30"/>
          <w:lang w:val="en-US" w:eastAsia="zh-CN"/>
        </w:rPr>
        <w:t>542条</w:t>
      </w:r>
      <w:r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  <w:t>，</w:t>
      </w:r>
      <w:r>
        <w:rPr>
          <w:rFonts w:hint="eastAsia" w:ascii="仿宋_GB2312" w:hAnsi="宋体" w:eastAsia="仿宋_GB2312" w:cs="Arial"/>
          <w:kern w:val="0"/>
          <w:sz w:val="30"/>
          <w:szCs w:val="30"/>
          <w:lang w:val="en-US" w:eastAsia="zh-CN"/>
        </w:rPr>
        <w:t>4.新闻媒体发布10余条。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20" w:firstLineChars="200"/>
        <w:jc w:val="left"/>
        <w:rPr>
          <w:rFonts w:hint="eastAsia" w:ascii="仿宋_GB2312" w:hAnsi="宋体" w:eastAsia="仿宋_GB2312" w:cs="Arial"/>
          <w:kern w:val="0"/>
          <w:sz w:val="30"/>
          <w:szCs w:val="30"/>
          <w:lang w:val="en-US" w:eastAsia="zh-CN" w:bidi="ar-SA"/>
        </w:rPr>
      </w:pPr>
      <w:r>
        <w:rPr>
          <w:rFonts w:ascii="楷体" w:hAnsi="楷体" w:eastAsia="楷体" w:cs="楷体"/>
          <w:i w:val="0"/>
          <w:caps w:val="0"/>
          <w:color w:val="3D3D3D"/>
          <w:spacing w:val="0"/>
          <w:sz w:val="31"/>
          <w:szCs w:val="31"/>
          <w:u w:val="none"/>
        </w:rPr>
        <w:t>依申请公开政府信息情况和不予公开信息情况</w:t>
      </w:r>
      <w:r>
        <w:rPr>
          <w:rFonts w:hint="eastAsia" w:ascii="楷体" w:hAnsi="楷体" w:eastAsia="楷体" w:cs="楷体"/>
          <w:i w:val="0"/>
          <w:caps w:val="0"/>
          <w:color w:val="3D3D3D"/>
          <w:spacing w:val="0"/>
          <w:sz w:val="31"/>
          <w:szCs w:val="31"/>
          <w:u w:val="none"/>
        </w:rPr>
        <w:t>：</w:t>
      </w:r>
      <w:r>
        <w:rPr>
          <w:rFonts w:hint="eastAsia" w:ascii="仿宋_GB2312" w:hAnsi="宋体" w:eastAsia="仿宋_GB2312" w:cs="Arial"/>
          <w:kern w:val="0"/>
          <w:sz w:val="30"/>
          <w:szCs w:val="30"/>
          <w:lang w:val="en-US" w:eastAsia="zh-CN" w:bidi="ar-SA"/>
        </w:rPr>
        <w:t>2019年，我局共收到和办理网上依申请公开事项2件，均按相关流程予以回复，并在规定时间内办结。</w:t>
      </w:r>
      <w:r>
        <w:rPr>
          <w:rFonts w:hint="default" w:ascii="仿宋_GB2312" w:hAnsi="宋体" w:eastAsia="仿宋_GB2312" w:cs="Arial"/>
          <w:kern w:val="0"/>
          <w:sz w:val="30"/>
          <w:szCs w:val="30"/>
          <w:lang w:val="en-US" w:eastAsia="zh-CN" w:bidi="ar-SA"/>
        </w:rPr>
        <w:t>目前，我局无不予公开信息的情况。</w:t>
      </w:r>
    </w:p>
    <w:p>
      <w:pPr>
        <w:spacing w:line="520" w:lineRule="exact"/>
        <w:ind w:firstLine="620" w:firstLineChars="200"/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3D3D3D"/>
          <w:spacing w:val="0"/>
          <w:sz w:val="31"/>
          <w:szCs w:val="31"/>
          <w:u w:val="none"/>
        </w:rPr>
        <w:t>政府信息公开的收费及减免情况</w:t>
      </w:r>
      <w:r>
        <w:rPr>
          <w:rFonts w:hint="eastAsia" w:ascii="楷体" w:hAnsi="楷体" w:eastAsia="楷体" w:cs="楷体"/>
          <w:i w:val="0"/>
          <w:caps w:val="0"/>
          <w:color w:val="3D3D3D"/>
          <w:spacing w:val="0"/>
          <w:sz w:val="31"/>
          <w:szCs w:val="31"/>
          <w:u w:val="none"/>
          <w:lang w:eastAsia="zh-CN"/>
        </w:rPr>
        <w:t>：</w:t>
      </w:r>
      <w:r>
        <w:rPr>
          <w:rFonts w:hint="eastAsia" w:ascii="仿宋_GB2312" w:hAnsi="宋体" w:eastAsia="仿宋_GB2312" w:cs="Arial"/>
          <w:kern w:val="0"/>
          <w:sz w:val="30"/>
          <w:szCs w:val="30"/>
          <w:lang w:val="en-US" w:eastAsia="zh-CN"/>
        </w:rPr>
        <w:t>2019年，我局无</w:t>
      </w:r>
      <w:r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  <w:t>公开的收费及减免事项。</w:t>
      </w:r>
    </w:p>
    <w:p>
      <w:pPr>
        <w:spacing w:line="520" w:lineRule="exact"/>
        <w:ind w:firstLine="620" w:firstLineChars="200"/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3D3D3D"/>
          <w:spacing w:val="0"/>
          <w:sz w:val="31"/>
          <w:szCs w:val="31"/>
          <w:u w:val="none"/>
        </w:rPr>
        <w:t>因政府信息公开申请行政复议、行政诉讼的情况</w:t>
      </w:r>
      <w:r>
        <w:rPr>
          <w:rFonts w:hint="eastAsia" w:ascii="楷体" w:hAnsi="楷体" w:eastAsia="楷体" w:cs="楷体"/>
          <w:i w:val="0"/>
          <w:caps w:val="0"/>
          <w:color w:val="3D3D3D"/>
          <w:spacing w:val="0"/>
          <w:sz w:val="31"/>
          <w:szCs w:val="31"/>
          <w:u w:val="none"/>
          <w:lang w:eastAsia="zh-CN"/>
        </w:rPr>
        <w:t>：</w:t>
      </w:r>
      <w:r>
        <w:rPr>
          <w:rFonts w:hint="eastAsia" w:ascii="仿宋_GB2312" w:hAnsi="宋体" w:eastAsia="仿宋_GB2312" w:cs="Arial"/>
          <w:kern w:val="0"/>
          <w:sz w:val="30"/>
          <w:szCs w:val="30"/>
          <w:lang w:val="en-US" w:eastAsia="zh-CN"/>
        </w:rPr>
        <w:t>2019年，我局未发生</w:t>
      </w:r>
      <w:r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  <w:t>针对本单位政府信息公开的行政复议申请和行政诉讼案件。</w:t>
      </w:r>
    </w:p>
    <w:p>
      <w:pPr>
        <w:ind w:firstLine="620" w:firstLineChars="200"/>
        <w:rPr>
          <w:rFonts w:hint="eastAsia" w:ascii="仿宋_GB2312" w:hAnsi="宋体" w:eastAsia="仿宋_GB2312" w:cs="Arial"/>
          <w:kern w:val="0"/>
          <w:sz w:val="30"/>
          <w:szCs w:val="30"/>
        </w:rPr>
      </w:pPr>
      <w:r>
        <w:rPr>
          <w:rFonts w:hint="eastAsia" w:ascii="楷体" w:hAnsi="楷体" w:eastAsia="楷体" w:cs="楷体"/>
          <w:i w:val="0"/>
          <w:caps w:val="0"/>
          <w:color w:val="3D3D3D"/>
          <w:spacing w:val="0"/>
          <w:sz w:val="31"/>
          <w:szCs w:val="31"/>
          <w:u w:val="none"/>
        </w:rPr>
        <w:t>建议和提案办理情况：</w:t>
      </w:r>
      <w:r>
        <w:rPr>
          <w:rFonts w:hint="default" w:ascii="仿宋_GB2312" w:hAnsi="宋体" w:eastAsia="仿宋_GB2312" w:cs="Arial"/>
          <w:kern w:val="0"/>
          <w:sz w:val="30"/>
          <w:szCs w:val="30"/>
          <w:lang w:eastAsia="zh-CN"/>
        </w:rPr>
        <w:t>2019年，我局</w:t>
      </w:r>
      <w:r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  <w:t>未收到市人大代表建议；</w:t>
      </w:r>
      <w:r>
        <w:rPr>
          <w:rFonts w:hint="default" w:ascii="仿宋_GB2312" w:hAnsi="宋体" w:eastAsia="仿宋_GB2312" w:cs="Arial"/>
          <w:kern w:val="0"/>
          <w:sz w:val="30"/>
          <w:szCs w:val="30"/>
          <w:lang w:eastAsia="zh-CN"/>
        </w:rPr>
        <w:t>承办市政协委员提案</w:t>
      </w:r>
      <w:r>
        <w:rPr>
          <w:rFonts w:hint="eastAsia" w:ascii="仿宋_GB2312" w:hAnsi="宋体" w:eastAsia="仿宋_GB2312" w:cs="Arial"/>
          <w:kern w:val="0"/>
          <w:sz w:val="30"/>
          <w:szCs w:val="30"/>
          <w:lang w:val="en-US" w:eastAsia="zh-CN"/>
        </w:rPr>
        <w:t>1</w:t>
      </w:r>
      <w:r>
        <w:rPr>
          <w:rFonts w:hint="default" w:ascii="仿宋_GB2312" w:hAnsi="宋体" w:eastAsia="仿宋_GB2312" w:cs="Arial"/>
          <w:kern w:val="0"/>
          <w:sz w:val="30"/>
          <w:szCs w:val="30"/>
          <w:lang w:eastAsia="zh-CN"/>
        </w:rPr>
        <w:t>件</w:t>
      </w:r>
      <w:r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  <w:t>，办复率、满意率均达到100%，答复全文已在市政府网站公开发布。</w:t>
      </w: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二、主动公开政府信息情况</w:t>
      </w:r>
    </w:p>
    <w:p>
      <w:pPr>
        <w:rPr>
          <w:rFonts w:hint="eastAsia"/>
          <w:b/>
          <w:sz w:val="24"/>
          <w:szCs w:val="24"/>
        </w:rPr>
      </w:pPr>
    </w:p>
    <w:tbl>
      <w:tblPr>
        <w:tblStyle w:val="4"/>
        <w:tblW w:w="89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对外公开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119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34.74万元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 w:ascii="黑体" w:hAnsi="黑体" w:eastAsia="黑体"/>
          <w:b/>
          <w:color w:val="auto"/>
          <w:sz w:val="28"/>
          <w:szCs w:val="28"/>
        </w:rPr>
      </w:pPr>
      <w:r>
        <w:rPr>
          <w:rFonts w:hint="eastAsia" w:ascii="黑体" w:hAnsi="黑体" w:eastAsia="黑体"/>
          <w:b/>
          <w:color w:val="auto"/>
          <w:sz w:val="28"/>
          <w:szCs w:val="28"/>
        </w:rPr>
        <w:t>三、收到和处理政府信息公开申请情况</w:t>
      </w:r>
    </w:p>
    <w:tbl>
      <w:tblPr>
        <w:tblStyle w:val="4"/>
        <w:tblW w:w="978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709"/>
        <w:gridCol w:w="708"/>
        <w:gridCol w:w="709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567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820" w:type="dxa"/>
            <w:gridSpan w:val="3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820" w:type="dxa"/>
            <w:gridSpan w:val="3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restart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三、本年度办理结果</w:t>
            </w:r>
          </w:p>
        </w:tc>
        <w:tc>
          <w:tcPr>
            <w:tcW w:w="4253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四．政府信息公开行政复议、行政诉讼情况</w:t>
      </w:r>
    </w:p>
    <w:tbl>
      <w:tblPr>
        <w:tblStyle w:val="4"/>
        <w:tblW w:w="1020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ind w:firstLine="562" w:firstLineChars="200"/>
        <w:jc w:val="left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  <w:lang w:eastAsia="zh-CN"/>
        </w:rPr>
        <w:t>五、</w:t>
      </w:r>
      <w:r>
        <w:rPr>
          <w:rFonts w:hint="eastAsia" w:ascii="黑体" w:hAnsi="黑体" w:eastAsia="黑体"/>
          <w:b/>
          <w:sz w:val="28"/>
          <w:szCs w:val="28"/>
        </w:rPr>
        <w:t>存在的主要问题及改进情况</w:t>
      </w:r>
    </w:p>
    <w:p>
      <w:pPr>
        <w:spacing w:line="520" w:lineRule="exact"/>
        <w:ind w:firstLine="588" w:firstLineChars="196"/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</w:pPr>
      <w:r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  <w:t>201</w:t>
      </w:r>
      <w:r>
        <w:rPr>
          <w:rFonts w:hint="eastAsia" w:ascii="仿宋_GB2312" w:hAnsi="宋体" w:eastAsia="仿宋_GB2312" w:cs="Arial"/>
          <w:kern w:val="0"/>
          <w:sz w:val="30"/>
          <w:szCs w:val="30"/>
          <w:lang w:val="en-US" w:eastAsia="zh-CN"/>
        </w:rPr>
        <w:t>9年</w:t>
      </w:r>
      <w:r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  <w:t>，我局政府信息公开工作继续保持平稳有序进行，但仍有很大提升空间。</w:t>
      </w:r>
    </w:p>
    <w:p>
      <w:pPr>
        <w:spacing w:line="520" w:lineRule="exact"/>
        <w:ind w:firstLine="588" w:firstLineChars="196"/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</w:pPr>
      <w:r>
        <w:rPr>
          <w:rFonts w:hint="eastAsia" w:ascii="仿宋_GB2312" w:hAnsi="宋体" w:eastAsia="仿宋_GB2312" w:cs="Arial"/>
          <w:kern w:val="0"/>
          <w:sz w:val="30"/>
          <w:szCs w:val="30"/>
          <w:lang w:val="en-US" w:eastAsia="zh-CN"/>
        </w:rPr>
        <w:t>1、存在的主要问题</w:t>
      </w:r>
    </w:p>
    <w:p>
      <w:pPr>
        <w:spacing w:line="520" w:lineRule="exact"/>
        <w:ind w:firstLine="588" w:firstLineChars="196"/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</w:pPr>
      <w:r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  <w:t>（</w:t>
      </w:r>
      <w:r>
        <w:rPr>
          <w:rFonts w:hint="eastAsia" w:ascii="仿宋_GB2312" w:hAnsi="宋体" w:eastAsia="仿宋_GB2312" w:cs="Arial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  <w:t>）政府信息公开内容有待梳理完善；</w:t>
      </w:r>
    </w:p>
    <w:p>
      <w:pPr>
        <w:spacing w:line="520" w:lineRule="exact"/>
        <w:ind w:firstLine="588" w:firstLineChars="196"/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</w:pPr>
      <w:r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  <w:t>（</w:t>
      </w:r>
      <w:r>
        <w:rPr>
          <w:rFonts w:hint="eastAsia" w:ascii="仿宋_GB2312" w:hAnsi="宋体" w:eastAsia="仿宋_GB2312" w:cs="Arial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  <w:t>）政策解读能力有待继续加强；</w:t>
      </w:r>
    </w:p>
    <w:p>
      <w:pPr>
        <w:spacing w:line="520" w:lineRule="exact"/>
        <w:ind w:firstLine="588" w:firstLineChars="196"/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</w:pPr>
      <w:r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  <w:t>（</w:t>
      </w:r>
      <w:r>
        <w:rPr>
          <w:rFonts w:hint="eastAsia" w:ascii="仿宋_GB2312" w:hAnsi="宋体" w:eastAsia="仿宋_GB2312" w:cs="Arial"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  <w:t>）政府信息公开的渠道有待拓宽。</w:t>
      </w:r>
    </w:p>
    <w:p>
      <w:pPr>
        <w:spacing w:line="520" w:lineRule="exact"/>
        <w:ind w:firstLine="588" w:firstLineChars="196"/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</w:pPr>
      <w:r>
        <w:rPr>
          <w:rFonts w:hint="eastAsia" w:ascii="仿宋_GB2312" w:hAnsi="宋体" w:eastAsia="仿宋_GB2312" w:cs="Arial"/>
          <w:kern w:val="0"/>
          <w:sz w:val="30"/>
          <w:szCs w:val="30"/>
          <w:lang w:val="en-US" w:eastAsia="zh-CN"/>
        </w:rPr>
        <w:t>2、改进情况：</w:t>
      </w:r>
    </w:p>
    <w:p>
      <w:pPr>
        <w:spacing w:line="520" w:lineRule="exact"/>
        <w:ind w:firstLine="588" w:firstLineChars="196"/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</w:pPr>
      <w:r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  <w:t>（</w:t>
      </w:r>
      <w:r>
        <w:rPr>
          <w:rFonts w:hint="eastAsia" w:ascii="仿宋_GB2312" w:hAnsi="宋体" w:eastAsia="仿宋_GB2312" w:cs="Arial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  <w:t>）信息公开是促进民主、法治的有利途径，注重宣传服务型政府的思想观念，努力提高全局干部职工的“阳光意识”。</w:t>
      </w:r>
    </w:p>
    <w:p>
      <w:pPr>
        <w:spacing w:line="520" w:lineRule="exact"/>
        <w:ind w:firstLine="588" w:firstLineChars="196"/>
        <w:rPr>
          <w:rFonts w:hint="eastAsia" w:ascii="仿宋_GB2312" w:hAnsi="宋体" w:eastAsia="仿宋_GB2312" w:cs="Arial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  <w:t>（</w:t>
      </w:r>
      <w:r>
        <w:rPr>
          <w:rFonts w:hint="eastAsia" w:ascii="仿宋_GB2312" w:hAnsi="宋体" w:eastAsia="仿宋_GB2312" w:cs="Arial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  <w:t>）</w:t>
      </w:r>
      <w:r>
        <w:rPr>
          <w:rFonts w:hint="eastAsia" w:ascii="仿宋_GB2312" w:hAnsi="宋体" w:eastAsia="仿宋_GB2312" w:cs="Arial"/>
          <w:kern w:val="0"/>
          <w:sz w:val="30"/>
          <w:szCs w:val="30"/>
          <w:lang w:val="en-US" w:eastAsia="zh-CN"/>
        </w:rPr>
        <w:t>加强保障、健全机制，加强全市投资促进系统政府信息公开队伍建设，自觉接受社会监督。</w:t>
      </w:r>
    </w:p>
    <w:p>
      <w:pPr>
        <w:spacing w:line="520" w:lineRule="exact"/>
        <w:ind w:firstLine="588" w:firstLineChars="196"/>
        <w:rPr>
          <w:rFonts w:hint="eastAsia" w:ascii="仿宋_GB2312" w:hAnsi="宋体" w:eastAsia="仿宋_GB2312" w:cs="Arial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Arial"/>
          <w:kern w:val="0"/>
          <w:sz w:val="30"/>
          <w:szCs w:val="30"/>
          <w:lang w:val="en-US" w:eastAsia="zh-CN"/>
        </w:rPr>
        <w:t>（3）挖掘资源，</w:t>
      </w:r>
      <w:r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  <w:t>拓展内容，注重信息质量与实效，整合资源</w:t>
      </w:r>
      <w:r>
        <w:rPr>
          <w:rFonts w:hint="eastAsia" w:ascii="仿宋_GB2312" w:hAnsi="宋体" w:eastAsia="仿宋_GB2312" w:cs="Arial"/>
          <w:kern w:val="0"/>
          <w:sz w:val="30"/>
          <w:szCs w:val="30"/>
          <w:lang w:val="en-US" w:eastAsia="zh-CN"/>
        </w:rPr>
        <w:t>数据共享，积极推进政府信息公开向深度发展。</w:t>
      </w:r>
    </w:p>
    <w:p>
      <w:pPr>
        <w:ind w:firstLine="562" w:firstLineChars="200"/>
        <w:jc w:val="left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六、其他需要报告的事项</w:t>
      </w:r>
    </w:p>
    <w:p>
      <w:pPr>
        <w:spacing w:line="520" w:lineRule="exact"/>
        <w:ind w:firstLine="588" w:firstLineChars="196"/>
        <w:rPr>
          <w:rFonts w:hint="eastAsia" w:ascii="仿宋_GB2312" w:hAnsi="宋体" w:eastAsia="仿宋_GB2312" w:cs="Arial"/>
          <w:kern w:val="0"/>
          <w:sz w:val="30"/>
          <w:szCs w:val="30"/>
        </w:rPr>
      </w:pPr>
      <w:r>
        <w:rPr>
          <w:rFonts w:hint="eastAsia" w:ascii="仿宋_GB2312" w:hAnsi="宋体" w:eastAsia="仿宋_GB2312" w:cs="Arial"/>
          <w:kern w:val="0"/>
          <w:sz w:val="30"/>
          <w:szCs w:val="30"/>
        </w:rPr>
        <w:t>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58"/>
    <w:rsid w:val="00024810"/>
    <w:rsid w:val="000414C6"/>
    <w:rsid w:val="00087FF0"/>
    <w:rsid w:val="00216261"/>
    <w:rsid w:val="00270C0E"/>
    <w:rsid w:val="002A188B"/>
    <w:rsid w:val="002B6F68"/>
    <w:rsid w:val="003D7EB2"/>
    <w:rsid w:val="00405DB6"/>
    <w:rsid w:val="00420F86"/>
    <w:rsid w:val="00481ED7"/>
    <w:rsid w:val="004D2882"/>
    <w:rsid w:val="00697EE4"/>
    <w:rsid w:val="00714451"/>
    <w:rsid w:val="00717EE3"/>
    <w:rsid w:val="00732D81"/>
    <w:rsid w:val="00733F31"/>
    <w:rsid w:val="00741A40"/>
    <w:rsid w:val="00746739"/>
    <w:rsid w:val="007611C0"/>
    <w:rsid w:val="007F43FC"/>
    <w:rsid w:val="00892DC4"/>
    <w:rsid w:val="00920A8C"/>
    <w:rsid w:val="00935E77"/>
    <w:rsid w:val="0096093C"/>
    <w:rsid w:val="00A93492"/>
    <w:rsid w:val="00AC222F"/>
    <w:rsid w:val="00AD49B5"/>
    <w:rsid w:val="00BF42A9"/>
    <w:rsid w:val="00C61A42"/>
    <w:rsid w:val="00C762CA"/>
    <w:rsid w:val="00CA24FE"/>
    <w:rsid w:val="00D201BD"/>
    <w:rsid w:val="00D33F3A"/>
    <w:rsid w:val="00D7673F"/>
    <w:rsid w:val="00E03F11"/>
    <w:rsid w:val="00E04258"/>
    <w:rsid w:val="00E82A61"/>
    <w:rsid w:val="00EA3993"/>
    <w:rsid w:val="00FA3378"/>
    <w:rsid w:val="00FE3091"/>
    <w:rsid w:val="01691EB0"/>
    <w:rsid w:val="018E1CCD"/>
    <w:rsid w:val="0230686F"/>
    <w:rsid w:val="023E1694"/>
    <w:rsid w:val="02ED1F18"/>
    <w:rsid w:val="03A064D2"/>
    <w:rsid w:val="05EB6D5D"/>
    <w:rsid w:val="06CE2D63"/>
    <w:rsid w:val="06E821F9"/>
    <w:rsid w:val="07384FB9"/>
    <w:rsid w:val="07E53322"/>
    <w:rsid w:val="09310EED"/>
    <w:rsid w:val="0B164DA0"/>
    <w:rsid w:val="0B294649"/>
    <w:rsid w:val="0D4704D4"/>
    <w:rsid w:val="0E526056"/>
    <w:rsid w:val="0E934C29"/>
    <w:rsid w:val="0FEA48E6"/>
    <w:rsid w:val="0FFB5C04"/>
    <w:rsid w:val="106B1FEC"/>
    <w:rsid w:val="11E303DD"/>
    <w:rsid w:val="13412403"/>
    <w:rsid w:val="13425324"/>
    <w:rsid w:val="14957AA7"/>
    <w:rsid w:val="14B464A7"/>
    <w:rsid w:val="14FE0FF1"/>
    <w:rsid w:val="15046E34"/>
    <w:rsid w:val="155B6145"/>
    <w:rsid w:val="16060DBF"/>
    <w:rsid w:val="16737688"/>
    <w:rsid w:val="16C6192A"/>
    <w:rsid w:val="17D36974"/>
    <w:rsid w:val="189D383D"/>
    <w:rsid w:val="190140C9"/>
    <w:rsid w:val="19534F33"/>
    <w:rsid w:val="1A4F23F7"/>
    <w:rsid w:val="1A5518B9"/>
    <w:rsid w:val="1A8F6614"/>
    <w:rsid w:val="1B0C6FDF"/>
    <w:rsid w:val="1B966D93"/>
    <w:rsid w:val="1BCD5B37"/>
    <w:rsid w:val="1D133354"/>
    <w:rsid w:val="1E0B6AD1"/>
    <w:rsid w:val="1E3124E4"/>
    <w:rsid w:val="1F9F6D3E"/>
    <w:rsid w:val="20816978"/>
    <w:rsid w:val="2272129D"/>
    <w:rsid w:val="235370CE"/>
    <w:rsid w:val="23C03387"/>
    <w:rsid w:val="23DC3B4A"/>
    <w:rsid w:val="24135167"/>
    <w:rsid w:val="241B46A9"/>
    <w:rsid w:val="248650BE"/>
    <w:rsid w:val="25F479F6"/>
    <w:rsid w:val="262E60BB"/>
    <w:rsid w:val="26AC412D"/>
    <w:rsid w:val="27352034"/>
    <w:rsid w:val="27F27AFD"/>
    <w:rsid w:val="2AE118E1"/>
    <w:rsid w:val="2B8161A0"/>
    <w:rsid w:val="2C9032A2"/>
    <w:rsid w:val="2CC33D1F"/>
    <w:rsid w:val="2CE36613"/>
    <w:rsid w:val="2D884BD5"/>
    <w:rsid w:val="2E0C4A0A"/>
    <w:rsid w:val="30264FD2"/>
    <w:rsid w:val="3055164E"/>
    <w:rsid w:val="307338DB"/>
    <w:rsid w:val="31CE439B"/>
    <w:rsid w:val="32A53DF2"/>
    <w:rsid w:val="34F773A3"/>
    <w:rsid w:val="352F0712"/>
    <w:rsid w:val="354844E8"/>
    <w:rsid w:val="35A639E9"/>
    <w:rsid w:val="35DB48FE"/>
    <w:rsid w:val="36491727"/>
    <w:rsid w:val="3A8D4750"/>
    <w:rsid w:val="3BAB7AC8"/>
    <w:rsid w:val="3D4323CF"/>
    <w:rsid w:val="3E883E00"/>
    <w:rsid w:val="3E9F1286"/>
    <w:rsid w:val="3F6F63B1"/>
    <w:rsid w:val="404718B5"/>
    <w:rsid w:val="40D71AB7"/>
    <w:rsid w:val="4189093E"/>
    <w:rsid w:val="4249457C"/>
    <w:rsid w:val="445A720E"/>
    <w:rsid w:val="44610185"/>
    <w:rsid w:val="44714BC4"/>
    <w:rsid w:val="45B82AA1"/>
    <w:rsid w:val="46807D7A"/>
    <w:rsid w:val="46A2778D"/>
    <w:rsid w:val="46AA6A46"/>
    <w:rsid w:val="47563C8E"/>
    <w:rsid w:val="483B7AA5"/>
    <w:rsid w:val="48AB53F2"/>
    <w:rsid w:val="48D262AE"/>
    <w:rsid w:val="48EB4398"/>
    <w:rsid w:val="492A2E61"/>
    <w:rsid w:val="4ADD7F5B"/>
    <w:rsid w:val="4AE17643"/>
    <w:rsid w:val="4B02335B"/>
    <w:rsid w:val="4B815CB7"/>
    <w:rsid w:val="4C5C198C"/>
    <w:rsid w:val="4DD17CE9"/>
    <w:rsid w:val="4DE93206"/>
    <w:rsid w:val="4EE0693A"/>
    <w:rsid w:val="4FB81003"/>
    <w:rsid w:val="4FB972D9"/>
    <w:rsid w:val="509568E4"/>
    <w:rsid w:val="50B378DA"/>
    <w:rsid w:val="513465BF"/>
    <w:rsid w:val="51CB2F06"/>
    <w:rsid w:val="51E7544A"/>
    <w:rsid w:val="522C7427"/>
    <w:rsid w:val="52957E0E"/>
    <w:rsid w:val="536741EC"/>
    <w:rsid w:val="55137075"/>
    <w:rsid w:val="55FF61F8"/>
    <w:rsid w:val="56CF041E"/>
    <w:rsid w:val="57435366"/>
    <w:rsid w:val="58B34DA3"/>
    <w:rsid w:val="58C26E10"/>
    <w:rsid w:val="59605478"/>
    <w:rsid w:val="5A1B5D81"/>
    <w:rsid w:val="5AE44C01"/>
    <w:rsid w:val="5C474BDF"/>
    <w:rsid w:val="5C620EA1"/>
    <w:rsid w:val="5C880C94"/>
    <w:rsid w:val="5D9657CA"/>
    <w:rsid w:val="5E007B5B"/>
    <w:rsid w:val="5E782708"/>
    <w:rsid w:val="5F0E3D3F"/>
    <w:rsid w:val="5F573766"/>
    <w:rsid w:val="60525D1F"/>
    <w:rsid w:val="60C433B9"/>
    <w:rsid w:val="62AE3B13"/>
    <w:rsid w:val="62DC0571"/>
    <w:rsid w:val="6338259B"/>
    <w:rsid w:val="64E178B9"/>
    <w:rsid w:val="64ED7B86"/>
    <w:rsid w:val="658547CC"/>
    <w:rsid w:val="66C0400F"/>
    <w:rsid w:val="671F39AE"/>
    <w:rsid w:val="67E07A4D"/>
    <w:rsid w:val="67FA66C9"/>
    <w:rsid w:val="6A1E3E77"/>
    <w:rsid w:val="6A2B4B4C"/>
    <w:rsid w:val="6AA65AD0"/>
    <w:rsid w:val="6D033B5F"/>
    <w:rsid w:val="6D1735F8"/>
    <w:rsid w:val="6D677234"/>
    <w:rsid w:val="6D7B0E96"/>
    <w:rsid w:val="6EFD6624"/>
    <w:rsid w:val="6F3C1157"/>
    <w:rsid w:val="6F55049F"/>
    <w:rsid w:val="6FB15C2B"/>
    <w:rsid w:val="6FC761DB"/>
    <w:rsid w:val="701C1CE5"/>
    <w:rsid w:val="70C44BFB"/>
    <w:rsid w:val="70E3545D"/>
    <w:rsid w:val="724E6660"/>
    <w:rsid w:val="732F1D7D"/>
    <w:rsid w:val="73D8144D"/>
    <w:rsid w:val="73DD2D16"/>
    <w:rsid w:val="74263673"/>
    <w:rsid w:val="75323507"/>
    <w:rsid w:val="75793022"/>
    <w:rsid w:val="757D42C4"/>
    <w:rsid w:val="75DA265C"/>
    <w:rsid w:val="76E17C58"/>
    <w:rsid w:val="7733281F"/>
    <w:rsid w:val="77A84620"/>
    <w:rsid w:val="792159AF"/>
    <w:rsid w:val="79A86216"/>
    <w:rsid w:val="7A037895"/>
    <w:rsid w:val="7A536452"/>
    <w:rsid w:val="7A5B6C7D"/>
    <w:rsid w:val="7C453ACF"/>
    <w:rsid w:val="7C5B6EE7"/>
    <w:rsid w:val="7D4F19A5"/>
    <w:rsid w:val="7D59384E"/>
    <w:rsid w:val="7D9F1CA7"/>
    <w:rsid w:val="7E995A0B"/>
    <w:rsid w:val="7F422479"/>
    <w:rsid w:val="7F6B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FollowedHyperlink"/>
    <w:basedOn w:val="5"/>
    <w:semiHidden/>
    <w:unhideWhenUsed/>
    <w:uiPriority w:val="99"/>
    <w:rPr>
      <w:color w:val="000000"/>
      <w:u w:val="none"/>
    </w:rPr>
  </w:style>
  <w:style w:type="character" w:styleId="8">
    <w:name w:val="Hyperlink"/>
    <w:qFormat/>
    <w:uiPriority w:val="0"/>
    <w:rPr>
      <w:color w:val="0000FF"/>
      <w:sz w:val="18"/>
      <w:szCs w:val="18"/>
      <w:u w:val="none"/>
    </w:rPr>
  </w:style>
  <w:style w:type="character" w:customStyle="1" w:styleId="9">
    <w:name w:val="bsharetex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172</Words>
  <Characters>984</Characters>
  <Lines>8</Lines>
  <Paragraphs>2</Paragraphs>
  <TotalTime>9</TotalTime>
  <ScaleCrop>false</ScaleCrop>
  <LinksUpToDate>false</LinksUpToDate>
  <CharactersWithSpaces>1154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lenovo</cp:lastModifiedBy>
  <dcterms:modified xsi:type="dcterms:W3CDTF">2020-01-23T02:10:10Z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