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淄博市投资促进局</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2020年政府信息公开工作年度报告</w:t>
      </w:r>
    </w:p>
    <w:p>
      <w:pPr>
        <w:jc w:val="center"/>
        <w:rPr>
          <w:b/>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588" w:firstLineChars="196"/>
        <w:textAlignment w:val="auto"/>
        <w:rPr>
          <w:rFonts w:hint="eastAsia" w:ascii="仿宋" w:hAnsi="仿宋" w:eastAsia="仿宋" w:cs="仿宋"/>
          <w:kern w:val="0"/>
          <w:sz w:val="30"/>
          <w:szCs w:val="30"/>
        </w:rPr>
      </w:pPr>
      <w:r>
        <w:rPr>
          <w:rFonts w:hint="eastAsia" w:ascii="仿宋" w:hAnsi="仿宋" w:eastAsia="仿宋" w:cs="仿宋"/>
          <w:kern w:val="0"/>
          <w:sz w:val="30"/>
          <w:szCs w:val="30"/>
        </w:rPr>
        <w:t>本报告是根据《国务院办公厅政府信息与政务公开办公室关于政府信息公开工作年度报告有关事项的通知》(国办公开办函〔2019〕60号)要求，由淄博市投资促进局编制的2020年政府信息公开工作年度报告。本报告内容分为六部分，所列数据的统计期限自2020年1月1日起，至2020年12月31日止。如对本报告有任何疑问，请联系淄博市投资促进局政府信息公开工作领导小组办公室（地址：淄博市</w:t>
      </w:r>
      <w:r>
        <w:rPr>
          <w:rFonts w:hint="eastAsia" w:ascii="仿宋" w:hAnsi="仿宋" w:eastAsia="仿宋" w:cs="仿宋"/>
          <w:kern w:val="0"/>
          <w:sz w:val="30"/>
          <w:szCs w:val="30"/>
          <w:lang w:eastAsia="zh-CN"/>
        </w:rPr>
        <w:t>张店</w:t>
      </w:r>
      <w:r>
        <w:rPr>
          <w:rFonts w:hint="eastAsia" w:ascii="仿宋" w:hAnsi="仿宋" w:eastAsia="仿宋" w:cs="仿宋"/>
          <w:kern w:val="0"/>
          <w:sz w:val="30"/>
          <w:szCs w:val="30"/>
        </w:rPr>
        <w:t>区柳泉路312号</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邮编：255000</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电话：2777902</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邮箱：zb</w:t>
      </w:r>
      <w:r>
        <w:rPr>
          <w:rFonts w:hint="eastAsia" w:ascii="仿宋" w:hAnsi="仿宋" w:eastAsia="仿宋" w:cs="仿宋"/>
          <w:kern w:val="0"/>
          <w:sz w:val="30"/>
          <w:szCs w:val="30"/>
          <w:lang w:val="en-US" w:eastAsia="zh-CN"/>
        </w:rPr>
        <w:t>2777902</w:t>
      </w:r>
      <w:r>
        <w:rPr>
          <w:rFonts w:hint="eastAsia" w:ascii="仿宋" w:hAnsi="仿宋" w:eastAsia="仿宋" w:cs="仿宋"/>
          <w:kern w:val="0"/>
          <w:sz w:val="30"/>
          <w:szCs w:val="30"/>
        </w:rPr>
        <w:t>@zb.shandong.cn）。</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588" w:firstLineChars="196"/>
        <w:textAlignment w:val="auto"/>
        <w:rPr>
          <w:rFonts w:hint="eastAsia" w:ascii="仿宋" w:hAnsi="仿宋" w:eastAsia="仿宋" w:cs="仿宋"/>
          <w:kern w:val="0"/>
          <w:sz w:val="30"/>
          <w:szCs w:val="30"/>
        </w:rPr>
      </w:pPr>
      <w:r>
        <w:rPr>
          <w:rFonts w:hint="eastAsia" w:ascii="仿宋" w:hAnsi="仿宋" w:eastAsia="仿宋" w:cs="仿宋"/>
          <w:kern w:val="0"/>
          <w:sz w:val="30"/>
          <w:szCs w:val="30"/>
        </w:rPr>
        <w:t>2020年，淄博市投资促进局认真学习贯彻《中华人民共和国政府信息公开条例》、《国务院办公厅政府信息与政务公开办公室关于政府信息公开工作年度报告有关事项的通知》、《山东省政府信息公开办法》和中央、省、市政府信息公开工作相关文件、会议精神，持续规范和提升本部门政府信息公开工作。</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楷体" w:hAnsi="楷体" w:eastAsia="楷体" w:cs="楷体"/>
          <w:color w:val="3D3D3D"/>
          <w:sz w:val="31"/>
          <w:szCs w:val="31"/>
        </w:rPr>
      </w:pPr>
      <w:r>
        <w:rPr>
          <w:rFonts w:hint="eastAsia" w:ascii="楷体" w:hAnsi="楷体" w:eastAsia="楷体" w:cs="楷体"/>
          <w:color w:val="3D3D3D"/>
          <w:sz w:val="31"/>
          <w:szCs w:val="31"/>
        </w:rPr>
        <w:t>主动公开政府信息的形式及更新情况：</w:t>
      </w:r>
    </w:p>
    <w:p>
      <w:pPr>
        <w:keepNext w:val="0"/>
        <w:keepLines w:val="0"/>
        <w:pageBreakBefore w:val="0"/>
        <w:widowControl w:val="0"/>
        <w:kinsoku/>
        <w:wordWrap/>
        <w:overflowPunct/>
        <w:topLinePunct w:val="0"/>
        <w:autoSpaceDE/>
        <w:autoSpaceDN/>
        <w:bidi w:val="0"/>
        <w:adjustRightInd/>
        <w:snapToGrid/>
        <w:spacing w:line="560" w:lineRule="exact"/>
        <w:ind w:firstLine="588" w:firstLineChars="196"/>
        <w:textAlignment w:val="auto"/>
        <w:rPr>
          <w:rFonts w:hint="eastAsia" w:ascii="仿宋" w:hAnsi="仿宋" w:eastAsia="仿宋" w:cs="仿宋"/>
          <w:kern w:val="0"/>
          <w:sz w:val="30"/>
          <w:szCs w:val="30"/>
        </w:rPr>
      </w:pPr>
      <w:r>
        <w:rPr>
          <w:rFonts w:hint="eastAsia" w:ascii="仿宋" w:hAnsi="仿宋" w:eastAsia="仿宋" w:cs="仿宋"/>
          <w:kern w:val="0"/>
          <w:sz w:val="30"/>
          <w:szCs w:val="30"/>
        </w:rPr>
        <w:t>1、淄博市投资促进网（</w:t>
      </w:r>
      <w:r>
        <w:rPr>
          <w:rFonts w:hint="eastAsia" w:ascii="仿宋" w:hAnsi="仿宋" w:eastAsia="仿宋" w:cs="仿宋"/>
          <w:kern w:val="0"/>
          <w:sz w:val="30"/>
          <w:szCs w:val="30"/>
        </w:rPr>
        <w:fldChar w:fldCharType="begin"/>
      </w:r>
      <w:r>
        <w:rPr>
          <w:rFonts w:hint="eastAsia" w:ascii="仿宋" w:hAnsi="仿宋" w:eastAsia="仿宋" w:cs="仿宋"/>
          <w:kern w:val="0"/>
          <w:sz w:val="30"/>
          <w:szCs w:val="30"/>
        </w:rPr>
        <w:instrText xml:space="preserve"> HYPERLINK "http://invest.zibo.gov.cn/）共计更新概况类和政务动态类信息458" </w:instrText>
      </w:r>
      <w:r>
        <w:rPr>
          <w:rFonts w:hint="eastAsia" w:ascii="仿宋" w:hAnsi="仿宋" w:eastAsia="仿宋" w:cs="仿宋"/>
          <w:kern w:val="0"/>
          <w:sz w:val="30"/>
          <w:szCs w:val="30"/>
        </w:rPr>
        <w:fldChar w:fldCharType="separate"/>
      </w:r>
      <w:r>
        <w:rPr>
          <w:rFonts w:hint="eastAsia" w:ascii="仿宋" w:hAnsi="仿宋" w:eastAsia="仿宋" w:cs="仿宋"/>
          <w:kern w:val="0"/>
          <w:sz w:val="30"/>
          <w:szCs w:val="30"/>
        </w:rPr>
        <w:t>http://invest.zibo.gov.cn/）共计更新概况类和政务动态类信息458</w:t>
      </w:r>
      <w:r>
        <w:rPr>
          <w:rFonts w:hint="eastAsia" w:ascii="仿宋" w:hAnsi="仿宋" w:eastAsia="仿宋" w:cs="仿宋"/>
          <w:kern w:val="0"/>
          <w:sz w:val="30"/>
          <w:szCs w:val="30"/>
        </w:rPr>
        <w:fldChar w:fldCharType="end"/>
      </w:r>
      <w:r>
        <w:rPr>
          <w:rFonts w:hint="eastAsia" w:ascii="仿宋" w:hAnsi="仿宋" w:eastAsia="仿宋" w:cs="仿宋"/>
          <w:kern w:val="0"/>
          <w:sz w:val="30"/>
          <w:szCs w:val="30"/>
        </w:rPr>
        <w:t>条，2、淄博市人民政府网站（http://www.zibo.gov.cn/）共计更新105条，3、政务新媒体（“投资淄博微博”、“投资淄博”微信公众号和“淄博招商”头条号）共计更新651条，4、</w:t>
      </w:r>
      <w:r>
        <w:rPr>
          <w:rFonts w:hint="eastAsia" w:ascii="仿宋" w:hAnsi="仿宋" w:eastAsia="仿宋" w:cs="仿宋"/>
          <w:kern w:val="0"/>
          <w:sz w:val="30"/>
          <w:szCs w:val="30"/>
          <w:lang w:eastAsia="zh-CN"/>
        </w:rPr>
        <w:t>各类</w:t>
      </w:r>
      <w:r>
        <w:rPr>
          <w:rFonts w:hint="eastAsia" w:ascii="仿宋" w:hAnsi="仿宋" w:eastAsia="仿宋" w:cs="仿宋"/>
          <w:kern w:val="0"/>
          <w:sz w:val="30"/>
          <w:szCs w:val="30"/>
        </w:rPr>
        <w:t>新闻媒体</w:t>
      </w:r>
      <w:r>
        <w:rPr>
          <w:rFonts w:hint="eastAsia" w:ascii="仿宋" w:hAnsi="仿宋" w:eastAsia="仿宋" w:cs="仿宋"/>
          <w:kern w:val="0"/>
          <w:sz w:val="30"/>
          <w:szCs w:val="30"/>
          <w:lang w:eastAsia="zh-CN"/>
        </w:rPr>
        <w:t>共计刊发</w:t>
      </w:r>
      <w:r>
        <w:rPr>
          <w:rFonts w:hint="eastAsia" w:ascii="仿宋" w:hAnsi="仿宋" w:eastAsia="仿宋" w:cs="仿宋"/>
          <w:kern w:val="0"/>
          <w:sz w:val="30"/>
          <w:szCs w:val="30"/>
          <w:lang w:val="en-US" w:eastAsia="zh-CN"/>
        </w:rPr>
        <w:t>30</w:t>
      </w:r>
      <w:r>
        <w:rPr>
          <w:rFonts w:hint="eastAsia" w:ascii="仿宋" w:hAnsi="仿宋" w:eastAsia="仿宋" w:cs="仿宋"/>
          <w:kern w:val="0"/>
          <w:sz w:val="30"/>
          <w:szCs w:val="30"/>
        </w:rPr>
        <w:t>余条。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color w:val="3D3D3D"/>
          <w:sz w:val="31"/>
          <w:szCs w:val="31"/>
        </w:rPr>
      </w:pPr>
      <w:r>
        <w:rPr>
          <w:rFonts w:hint="eastAsia" w:ascii="楷体" w:hAnsi="楷体" w:eastAsia="楷体" w:cs="楷体"/>
          <w:color w:val="3D3D3D"/>
          <w:sz w:val="31"/>
          <w:szCs w:val="31"/>
          <w:lang w:eastAsia="zh-CN"/>
        </w:rPr>
        <w:drawing>
          <wp:inline distT="0" distB="0" distL="114300" distR="114300">
            <wp:extent cx="5269230" cy="2181225"/>
            <wp:effectExtent l="0" t="0" r="7620" b="9525"/>
            <wp:docPr id="2" name="图片 2" descr="微信图片_2021020911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209113914"/>
                    <pic:cNvPicPr>
                      <a:picLocks noChangeAspect="1"/>
                    </pic:cNvPicPr>
                  </pic:nvPicPr>
                  <pic:blipFill>
                    <a:blip r:embed="rId5"/>
                    <a:stretch>
                      <a:fillRect/>
                    </a:stretch>
                  </pic:blipFill>
                  <pic:spPr>
                    <a:xfrm>
                      <a:off x="0" y="0"/>
                      <a:ext cx="5269230" cy="2181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color w:val="3D3D3D"/>
          <w:sz w:val="31"/>
          <w:szCs w:val="31"/>
        </w:rPr>
      </w:pPr>
      <w:r>
        <w:rPr>
          <w:rFonts w:hint="eastAsia" w:ascii="楷体" w:hAnsi="楷体" w:eastAsia="楷体" w:cs="楷体"/>
          <w:color w:val="3D3D3D"/>
          <w:sz w:val="31"/>
          <w:szCs w:val="31"/>
          <w:lang w:eastAsia="zh-CN"/>
        </w:rPr>
        <w:drawing>
          <wp:inline distT="0" distB="0" distL="114300" distR="114300">
            <wp:extent cx="2046605" cy="2853055"/>
            <wp:effectExtent l="0" t="0" r="10795" b="4445"/>
            <wp:docPr id="3" name="图片 3" descr="微信图片_2021020911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209113914"/>
                    <pic:cNvPicPr>
                      <a:picLocks noChangeAspect="1"/>
                    </pic:cNvPicPr>
                  </pic:nvPicPr>
                  <pic:blipFill>
                    <a:blip r:embed="rId6"/>
                    <a:stretch>
                      <a:fillRect/>
                    </a:stretch>
                  </pic:blipFill>
                  <pic:spPr>
                    <a:xfrm>
                      <a:off x="0" y="0"/>
                      <a:ext cx="2046605" cy="2853055"/>
                    </a:xfrm>
                    <a:prstGeom prst="rect">
                      <a:avLst/>
                    </a:prstGeom>
                  </pic:spPr>
                </pic:pic>
              </a:graphicData>
            </a:graphic>
          </wp:inline>
        </w:drawing>
      </w:r>
      <w:r>
        <w:rPr>
          <w:rFonts w:hint="eastAsia" w:ascii="楷体" w:hAnsi="楷体" w:eastAsia="楷体" w:cs="楷体"/>
          <w:color w:val="3D3D3D"/>
          <w:sz w:val="31"/>
          <w:szCs w:val="31"/>
          <w:lang w:val="en-US" w:eastAsia="zh-CN"/>
        </w:rPr>
        <w:t xml:space="preserve">       </w:t>
      </w:r>
      <w:r>
        <w:rPr>
          <w:rFonts w:hint="eastAsia" w:ascii="楷体" w:hAnsi="楷体" w:eastAsia="楷体" w:cs="楷体"/>
          <w:color w:val="3D3D3D"/>
          <w:sz w:val="31"/>
          <w:szCs w:val="31"/>
          <w:lang w:eastAsia="zh-CN"/>
        </w:rPr>
        <w:drawing>
          <wp:inline distT="0" distB="0" distL="114300" distR="114300">
            <wp:extent cx="1922780" cy="2809240"/>
            <wp:effectExtent l="0" t="0" r="1270" b="10160"/>
            <wp:docPr id="4" name="图片 4" descr="微信图片_202102091139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2091139141"/>
                    <pic:cNvPicPr>
                      <a:picLocks noChangeAspect="1"/>
                    </pic:cNvPicPr>
                  </pic:nvPicPr>
                  <pic:blipFill>
                    <a:blip r:embed="rId7"/>
                    <a:stretch>
                      <a:fillRect/>
                    </a:stretch>
                  </pic:blipFill>
                  <pic:spPr>
                    <a:xfrm>
                      <a:off x="0" y="0"/>
                      <a:ext cx="1922780" cy="28092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 w:hAnsi="仿宋" w:eastAsia="仿宋" w:cs="仿宋"/>
          <w:kern w:val="0"/>
          <w:sz w:val="30"/>
          <w:szCs w:val="30"/>
        </w:rPr>
      </w:pPr>
      <w:r>
        <w:rPr>
          <w:rFonts w:hint="eastAsia" w:ascii="楷体" w:hAnsi="楷体" w:eastAsia="楷体" w:cs="楷体"/>
          <w:color w:val="3D3D3D"/>
          <w:sz w:val="31"/>
          <w:szCs w:val="31"/>
        </w:rPr>
        <w:t>建议和提案办理情况：</w:t>
      </w:r>
      <w:r>
        <w:rPr>
          <w:rFonts w:hint="eastAsia" w:ascii="仿宋" w:hAnsi="仿宋" w:eastAsia="仿宋" w:cs="仿宋"/>
          <w:kern w:val="0"/>
          <w:sz w:val="30"/>
          <w:szCs w:val="30"/>
        </w:rPr>
        <w:t>2020年，我局收到市人大代表建议4件，收到市政协委员提案2件，办复率、满意率均达到100%，答复全文已在网站公开发布。</w:t>
      </w:r>
    </w:p>
    <w:p>
      <w:pPr>
        <w:rPr>
          <w:b/>
          <w:sz w:val="28"/>
          <w:szCs w:val="28"/>
        </w:rPr>
      </w:pPr>
      <w:r>
        <w:rPr>
          <w:b/>
          <w:sz w:val="28"/>
          <w:szCs w:val="28"/>
        </w:rPr>
        <w:drawing>
          <wp:inline distT="0" distB="0" distL="0" distR="0">
            <wp:extent cx="5183505" cy="2185670"/>
            <wp:effectExtent l="0" t="0" r="17145" b="5080"/>
            <wp:docPr id="6"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3"/>
                    <pic:cNvPicPr>
                      <a:picLocks noChangeAspect="1" noChangeArrowheads="1"/>
                    </pic:cNvPicPr>
                  </pic:nvPicPr>
                  <pic:blipFill>
                    <a:blip r:embed="rId8" cstate="print"/>
                    <a:srcRect/>
                    <a:stretch>
                      <a:fillRect/>
                    </a:stretch>
                  </pic:blipFill>
                  <pic:spPr>
                    <a:xfrm>
                      <a:off x="0" y="0"/>
                      <a:ext cx="5183505" cy="2185670"/>
                    </a:xfrm>
                    <a:prstGeom prst="rect">
                      <a:avLst/>
                    </a:prstGeom>
                    <a:noFill/>
                    <a:ln w="9525">
                      <a:noFill/>
                      <a:miter lim="800000"/>
                      <a:headEnd/>
                      <a:tailEnd/>
                    </a:ln>
                  </pic:spPr>
                </pic:pic>
              </a:graphicData>
            </a:graphic>
          </wp:inline>
        </w:drawing>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rPr>
          <w:rFonts w:hint="eastAsia" w:ascii="仿宋" w:hAnsi="仿宋" w:eastAsia="仿宋" w:cs="仿宋"/>
          <w:kern w:val="0"/>
          <w:sz w:val="30"/>
          <w:szCs w:val="30"/>
          <w:lang w:val="en-US" w:eastAsia="zh-CN" w:bidi="ar-SA"/>
        </w:rPr>
      </w:pPr>
      <w:r>
        <w:rPr>
          <w:rFonts w:ascii="楷体" w:hAnsi="楷体" w:eastAsia="楷体" w:cs="楷体"/>
          <w:color w:val="3D3D3D"/>
          <w:sz w:val="31"/>
          <w:szCs w:val="31"/>
        </w:rPr>
        <w:t>依申请公开政府信息情况</w:t>
      </w:r>
      <w:r>
        <w:rPr>
          <w:rFonts w:hint="eastAsia" w:ascii="楷体" w:hAnsi="楷体" w:eastAsia="楷体" w:cs="楷体"/>
          <w:color w:val="3D3D3D"/>
          <w:sz w:val="31"/>
          <w:szCs w:val="31"/>
        </w:rPr>
        <w:t>：</w:t>
      </w:r>
      <w:r>
        <w:rPr>
          <w:rFonts w:hint="eastAsia" w:ascii="仿宋" w:hAnsi="仿宋" w:eastAsia="仿宋" w:cs="仿宋"/>
          <w:kern w:val="0"/>
          <w:sz w:val="30"/>
          <w:szCs w:val="30"/>
          <w:lang w:val="en-US" w:eastAsia="zh-CN" w:bidi="ar-SA"/>
        </w:rPr>
        <w:t>2020年，我局共收到和办理邮寄方式、网上依申请公开事项各1件，均按照规范流程答复，在规定时间内办结。</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仿宋" w:hAnsi="仿宋" w:eastAsia="仿宋" w:cs="仿宋"/>
          <w:kern w:val="0"/>
          <w:sz w:val="30"/>
          <w:szCs w:val="30"/>
        </w:rPr>
      </w:pPr>
      <w:r>
        <w:rPr>
          <w:rFonts w:hint="eastAsia" w:ascii="楷体" w:hAnsi="楷体" w:eastAsia="楷体" w:cs="楷体"/>
          <w:color w:val="3D3D3D"/>
          <w:sz w:val="31"/>
          <w:szCs w:val="31"/>
        </w:rPr>
        <w:t>政府信息管理情况：</w:t>
      </w:r>
      <w:r>
        <w:rPr>
          <w:rFonts w:hint="eastAsia" w:ascii="仿宋" w:hAnsi="仿宋" w:eastAsia="仿宋" w:cs="仿宋"/>
          <w:kern w:val="0"/>
          <w:sz w:val="30"/>
          <w:szCs w:val="30"/>
        </w:rPr>
        <w:t>严格落实政府信息公开审查流程，严格保密审查，确保公开信息的准确性、权威性、安全性、完整性和时效性</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进一步明确了各科室信息公开工作责任，保证各科室、局属单位及时报送更新信息。</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仿宋" w:hAnsi="仿宋" w:eastAsia="仿宋" w:cs="仿宋"/>
          <w:kern w:val="0"/>
          <w:sz w:val="30"/>
          <w:szCs w:val="30"/>
        </w:rPr>
      </w:pPr>
      <w:r>
        <w:rPr>
          <w:rFonts w:hint="eastAsia" w:ascii="楷体" w:hAnsi="楷体" w:eastAsia="楷体" w:cs="楷体"/>
          <w:color w:val="3D3D3D"/>
          <w:sz w:val="31"/>
          <w:szCs w:val="31"/>
        </w:rPr>
        <w:t>发布解读、回应社会关切以及互动交流情况：</w:t>
      </w:r>
      <w:r>
        <w:rPr>
          <w:rFonts w:hint="eastAsia" w:ascii="仿宋" w:hAnsi="仿宋" w:eastAsia="仿宋" w:cs="仿宋"/>
          <w:kern w:val="0"/>
          <w:sz w:val="30"/>
          <w:szCs w:val="30"/>
        </w:rPr>
        <w:t>2020年，我局局长信箱共收到网络留言</w:t>
      </w:r>
      <w:r>
        <w:rPr>
          <w:rFonts w:hint="eastAsia" w:ascii="仿宋" w:hAnsi="仿宋" w:eastAsia="仿宋" w:cs="仿宋"/>
          <w:kern w:val="0"/>
          <w:sz w:val="30"/>
          <w:szCs w:val="30"/>
          <w:lang w:val="en-US" w:eastAsia="zh-CN"/>
        </w:rPr>
        <w:t>6</w:t>
      </w:r>
      <w:r>
        <w:rPr>
          <w:rFonts w:hint="eastAsia" w:ascii="仿宋" w:hAnsi="仿宋" w:eastAsia="仿宋" w:cs="仿宋"/>
          <w:kern w:val="0"/>
          <w:sz w:val="30"/>
          <w:szCs w:val="30"/>
        </w:rPr>
        <w:t>次，均</w:t>
      </w:r>
      <w:r>
        <w:rPr>
          <w:rFonts w:hint="eastAsia" w:ascii="仿宋" w:hAnsi="仿宋" w:eastAsia="仿宋" w:cs="仿宋"/>
          <w:kern w:val="0"/>
          <w:sz w:val="30"/>
          <w:szCs w:val="30"/>
          <w:lang w:eastAsia="zh-CN"/>
        </w:rPr>
        <w:t>按照规范</w:t>
      </w:r>
      <w:r>
        <w:rPr>
          <w:rFonts w:hint="eastAsia" w:ascii="仿宋" w:hAnsi="仿宋" w:eastAsia="仿宋" w:cs="仿宋"/>
          <w:kern w:val="0"/>
          <w:sz w:val="30"/>
          <w:szCs w:val="30"/>
        </w:rPr>
        <w:t>流程</w:t>
      </w:r>
      <w:r>
        <w:rPr>
          <w:rFonts w:hint="eastAsia" w:ascii="仿宋" w:hAnsi="仿宋" w:eastAsia="仿宋" w:cs="仿宋"/>
          <w:kern w:val="0"/>
          <w:sz w:val="30"/>
          <w:szCs w:val="30"/>
          <w:lang w:eastAsia="zh-CN"/>
        </w:rPr>
        <w:t>答复</w:t>
      </w:r>
      <w:r>
        <w:rPr>
          <w:rFonts w:hint="eastAsia" w:ascii="仿宋" w:hAnsi="仿宋" w:eastAsia="仿宋" w:cs="仿宋"/>
          <w:kern w:val="0"/>
          <w:sz w:val="30"/>
          <w:szCs w:val="30"/>
        </w:rPr>
        <w:t>，在规定时间内办结。</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仿宋" w:hAnsi="仿宋" w:eastAsia="仿宋" w:cs="仿宋"/>
          <w:kern w:val="0"/>
          <w:sz w:val="30"/>
          <w:szCs w:val="30"/>
        </w:rPr>
      </w:pPr>
      <w:r>
        <w:rPr>
          <w:rFonts w:hint="eastAsia" w:ascii="楷体" w:hAnsi="楷体" w:eastAsia="楷体" w:cs="楷体"/>
          <w:color w:val="3D3D3D"/>
          <w:sz w:val="31"/>
          <w:szCs w:val="31"/>
        </w:rPr>
        <w:t>平台建设情况：</w:t>
      </w:r>
      <w:r>
        <w:rPr>
          <w:rFonts w:hint="eastAsia" w:ascii="仿宋" w:hAnsi="仿宋" w:eastAsia="仿宋" w:cs="仿宋"/>
          <w:kern w:val="0"/>
          <w:sz w:val="30"/>
          <w:szCs w:val="30"/>
          <w:lang w:eastAsia="zh-CN"/>
        </w:rPr>
        <w:t>我局</w:t>
      </w:r>
      <w:r>
        <w:rPr>
          <w:rFonts w:hint="eastAsia" w:ascii="仿宋" w:hAnsi="仿宋" w:eastAsia="仿宋" w:cs="仿宋"/>
          <w:kern w:val="0"/>
          <w:sz w:val="30"/>
          <w:szCs w:val="30"/>
        </w:rPr>
        <w:t>在不断巩固网站和政务新媒体两类政务公开主阵地的同时，持续加大工作力度，努力开拓新平台，不断畅通新渠道。11月18日，市投资促进局成功上线“齐点·淄博”APP，开通齐点号并同步推送全市招商引资领域重点工作动态、招商资源信息等内容，方便社会公众更加及时、更加便捷、更加精准地了解全市招商引资工作开展情况</w:t>
      </w:r>
      <w:r>
        <w:rPr>
          <w:rFonts w:hint="eastAsia" w:ascii="仿宋" w:hAnsi="仿宋" w:eastAsia="仿宋" w:cs="仿宋"/>
          <w:kern w:val="0"/>
          <w:sz w:val="30"/>
          <w:szCs w:val="30"/>
          <w:lang w:eastAsia="zh-CN"/>
        </w:rPr>
        <w:t>。齐点号</w:t>
      </w:r>
      <w:r>
        <w:rPr>
          <w:rFonts w:hint="eastAsia" w:ascii="仿宋" w:hAnsi="仿宋" w:eastAsia="仿宋" w:cs="仿宋"/>
          <w:kern w:val="0"/>
          <w:sz w:val="30"/>
          <w:szCs w:val="30"/>
        </w:rPr>
        <w:t>处于试运行阶段，</w:t>
      </w:r>
      <w:r>
        <w:rPr>
          <w:rFonts w:hint="eastAsia" w:ascii="仿宋" w:hAnsi="仿宋" w:eastAsia="仿宋" w:cs="仿宋"/>
          <w:kern w:val="0"/>
          <w:sz w:val="30"/>
          <w:szCs w:val="30"/>
          <w:lang w:val="en-US" w:eastAsia="zh-CN"/>
        </w:rPr>
        <w:t>2020年共</w:t>
      </w:r>
      <w:r>
        <w:rPr>
          <w:rFonts w:hint="eastAsia" w:ascii="仿宋" w:hAnsi="仿宋" w:eastAsia="仿宋" w:cs="仿宋"/>
          <w:kern w:val="0"/>
          <w:sz w:val="30"/>
          <w:szCs w:val="30"/>
          <w:lang w:eastAsia="zh-CN"/>
        </w:rPr>
        <w:t>发布信息</w:t>
      </w:r>
      <w:r>
        <w:rPr>
          <w:rFonts w:hint="eastAsia" w:ascii="仿宋" w:hAnsi="仿宋" w:eastAsia="仿宋" w:cs="仿宋"/>
          <w:kern w:val="0"/>
          <w:sz w:val="30"/>
          <w:szCs w:val="30"/>
        </w:rPr>
        <w:t>15条。</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仿宋" w:hAnsi="仿宋" w:eastAsia="仿宋" w:cs="仿宋"/>
          <w:kern w:val="0"/>
          <w:sz w:val="30"/>
          <w:szCs w:val="30"/>
        </w:rPr>
      </w:pPr>
      <w:r>
        <w:rPr>
          <w:rFonts w:hint="eastAsia" w:ascii="楷体" w:hAnsi="楷体" w:eastAsia="楷体" w:cs="楷体"/>
          <w:color w:val="3D3D3D"/>
          <w:sz w:val="31"/>
          <w:szCs w:val="31"/>
        </w:rPr>
        <w:t>政府信息公开的收费及减免情况：</w:t>
      </w:r>
      <w:r>
        <w:rPr>
          <w:rFonts w:hint="eastAsia" w:ascii="仿宋" w:hAnsi="仿宋" w:eastAsia="仿宋" w:cs="仿宋"/>
          <w:kern w:val="0"/>
          <w:sz w:val="30"/>
          <w:szCs w:val="30"/>
        </w:rPr>
        <w:t>2020年，我局无公开的收费及减免事项。</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仿宋" w:hAnsi="仿宋" w:eastAsia="仿宋" w:cs="仿宋"/>
          <w:kern w:val="0"/>
          <w:sz w:val="30"/>
          <w:szCs w:val="30"/>
        </w:rPr>
      </w:pPr>
      <w:r>
        <w:rPr>
          <w:rFonts w:hint="eastAsia" w:ascii="楷体" w:hAnsi="楷体" w:eastAsia="楷体" w:cs="楷体"/>
          <w:color w:val="3D3D3D"/>
          <w:sz w:val="31"/>
          <w:szCs w:val="31"/>
        </w:rPr>
        <w:t>因政府信息公开申请行政复议、行政诉讼的情况：</w:t>
      </w:r>
      <w:r>
        <w:rPr>
          <w:rFonts w:hint="eastAsia" w:ascii="仿宋" w:hAnsi="仿宋" w:eastAsia="仿宋" w:cs="仿宋"/>
          <w:kern w:val="0"/>
          <w:sz w:val="30"/>
          <w:szCs w:val="30"/>
        </w:rPr>
        <w:t>2020年，我局未发生针对本单位政府信息公开的行政复议申请和行政诉讼案件。</w:t>
      </w:r>
    </w:p>
    <w:p>
      <w:pPr>
        <w:keepNext w:val="0"/>
        <w:keepLines w:val="0"/>
        <w:pageBreakBefore w:val="0"/>
        <w:kinsoku/>
        <w:wordWrap/>
        <w:overflowPunct/>
        <w:topLinePunct w:val="0"/>
        <w:autoSpaceDE/>
        <w:autoSpaceDN/>
        <w:bidi w:val="0"/>
        <w:adjustRightInd/>
        <w:snapToGrid/>
        <w:spacing w:line="560" w:lineRule="exact"/>
        <w:ind w:firstLine="607" w:firstLineChars="196"/>
        <w:textAlignment w:val="auto"/>
        <w:rPr>
          <w:rFonts w:hint="eastAsia" w:ascii="仿宋" w:hAnsi="仿宋" w:eastAsia="仿宋" w:cs="仿宋"/>
          <w:kern w:val="0"/>
          <w:sz w:val="30"/>
          <w:szCs w:val="30"/>
        </w:rPr>
      </w:pPr>
      <w:r>
        <w:rPr>
          <w:rFonts w:hint="eastAsia" w:ascii="楷体" w:hAnsi="楷体" w:eastAsia="楷体" w:cs="楷体"/>
          <w:color w:val="3D3D3D"/>
          <w:sz w:val="31"/>
          <w:szCs w:val="31"/>
        </w:rPr>
        <w:t>组织监督保障情况：</w:t>
      </w:r>
      <w:r>
        <w:rPr>
          <w:rFonts w:hint="eastAsia" w:ascii="仿宋" w:hAnsi="仿宋" w:eastAsia="仿宋" w:cs="仿宋"/>
          <w:kern w:val="0"/>
          <w:sz w:val="30"/>
          <w:szCs w:val="30"/>
          <w:lang w:eastAsia="zh-CN"/>
        </w:rPr>
        <w:t>我</w:t>
      </w:r>
      <w:r>
        <w:rPr>
          <w:rFonts w:hint="eastAsia" w:ascii="仿宋" w:hAnsi="仿宋" w:eastAsia="仿宋" w:cs="仿宋"/>
          <w:kern w:val="0"/>
          <w:sz w:val="30"/>
          <w:szCs w:val="30"/>
        </w:rPr>
        <w:t>局高度重视政务公开工作，及时调整并公布本部门政府信息公开工作领导小组。在成立以局长任组长、分管局长任副组长、各科室负责人为组员的政府信息公开工作领导小组的基础上，根据本部门人事变动情况，分别在3月份和11月份及时调整小组成员，保证该项工作</w:t>
      </w:r>
      <w:r>
        <w:rPr>
          <w:rFonts w:hint="eastAsia" w:ascii="仿宋" w:hAnsi="仿宋" w:eastAsia="仿宋" w:cs="仿宋"/>
          <w:kern w:val="0"/>
          <w:sz w:val="30"/>
          <w:szCs w:val="30"/>
          <w:lang w:eastAsia="zh-CN"/>
        </w:rPr>
        <w:t>组织</w:t>
      </w:r>
      <w:r>
        <w:rPr>
          <w:rFonts w:hint="eastAsia" w:ascii="仿宋" w:hAnsi="仿宋" w:eastAsia="仿宋" w:cs="仿宋"/>
          <w:kern w:val="0"/>
          <w:sz w:val="30"/>
          <w:szCs w:val="30"/>
        </w:rPr>
        <w:t>领导</w:t>
      </w:r>
      <w:r>
        <w:rPr>
          <w:rFonts w:hint="eastAsia" w:ascii="仿宋" w:hAnsi="仿宋" w:eastAsia="仿宋" w:cs="仿宋"/>
          <w:kern w:val="0"/>
          <w:sz w:val="30"/>
          <w:szCs w:val="30"/>
          <w:lang w:eastAsia="zh-CN"/>
        </w:rPr>
        <w:t>有力</w:t>
      </w:r>
      <w:r>
        <w:rPr>
          <w:rFonts w:hint="eastAsia" w:ascii="仿宋" w:hAnsi="仿宋" w:eastAsia="仿宋" w:cs="仿宋"/>
          <w:kern w:val="0"/>
          <w:sz w:val="30"/>
          <w:szCs w:val="30"/>
        </w:rPr>
        <w:t>，</w:t>
      </w:r>
      <w:r>
        <w:rPr>
          <w:rFonts w:hint="eastAsia" w:ascii="仿宋" w:hAnsi="仿宋" w:eastAsia="仿宋" w:cs="仿宋"/>
          <w:kern w:val="0"/>
          <w:sz w:val="30"/>
          <w:szCs w:val="30"/>
          <w:lang w:eastAsia="zh-CN"/>
        </w:rPr>
        <w:t>业务</w:t>
      </w:r>
      <w:r>
        <w:rPr>
          <w:rFonts w:hint="eastAsia" w:ascii="仿宋" w:hAnsi="仿宋" w:eastAsia="仿宋" w:cs="仿宋"/>
          <w:kern w:val="0"/>
          <w:sz w:val="30"/>
          <w:szCs w:val="30"/>
        </w:rPr>
        <w:t>有序衔接开展。</w:t>
      </w:r>
    </w:p>
    <w:p>
      <w:pPr>
        <w:jc w:val="center"/>
        <w:rPr>
          <w:rFonts w:hint="eastAsia" w:ascii="仿宋" w:hAnsi="仿宋" w:eastAsia="仿宋" w:cs="仿宋"/>
          <w:sz w:val="32"/>
          <w:szCs w:val="32"/>
          <w:lang w:eastAsia="zh-CN"/>
        </w:rPr>
      </w:pPr>
      <w:r>
        <w:rPr>
          <w:rFonts w:ascii="仿宋" w:hAnsi="仿宋" w:eastAsia="仿宋" w:cs="仿宋"/>
          <w:sz w:val="32"/>
          <w:szCs w:val="32"/>
        </w:rPr>
        <w:drawing>
          <wp:inline distT="0" distB="0" distL="0" distR="0">
            <wp:extent cx="2252345" cy="3026410"/>
            <wp:effectExtent l="0" t="0" r="14605" b="2540"/>
            <wp:docPr id="8" name="图片 38" descr="D:\Temp\16112116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8" descr="D:\Temp\1611211665(1).jpg"/>
                    <pic:cNvPicPr>
                      <a:picLocks noChangeAspect="1" noChangeArrowheads="1"/>
                    </pic:cNvPicPr>
                  </pic:nvPicPr>
                  <pic:blipFill>
                    <a:blip r:embed="rId9" cstate="print"/>
                    <a:srcRect/>
                    <a:stretch>
                      <a:fillRect/>
                    </a:stretch>
                  </pic:blipFill>
                  <pic:spPr>
                    <a:xfrm>
                      <a:off x="0" y="0"/>
                      <a:ext cx="2252345" cy="3026410"/>
                    </a:xfrm>
                    <a:prstGeom prst="rect">
                      <a:avLst/>
                    </a:prstGeom>
                    <a:noFill/>
                    <a:ln w="9525">
                      <a:noFill/>
                      <a:miter lim="800000"/>
                      <a:headEnd/>
                      <a:tailEnd/>
                    </a:ln>
                  </pic:spPr>
                </pic:pic>
              </a:graphicData>
            </a:graphic>
          </wp:inline>
        </w:draw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drawing>
          <wp:inline distT="0" distB="0" distL="114300" distR="114300">
            <wp:extent cx="2387600" cy="2964815"/>
            <wp:effectExtent l="0" t="0" r="12700" b="6985"/>
            <wp:docPr id="1" name="图片 1" descr="41adeb4bf7257aa591fde674509d8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1adeb4bf7257aa591fde674509d82e"/>
                    <pic:cNvPicPr>
                      <a:picLocks noChangeAspect="1"/>
                    </pic:cNvPicPr>
                  </pic:nvPicPr>
                  <pic:blipFill>
                    <a:blip r:embed="rId10"/>
                    <a:stretch>
                      <a:fillRect/>
                    </a:stretch>
                  </pic:blipFill>
                  <pic:spPr>
                    <a:xfrm>
                      <a:off x="0" y="0"/>
                      <a:ext cx="2387600" cy="29648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588" w:firstLineChars="196"/>
        <w:textAlignment w:val="auto"/>
        <w:rPr>
          <w:rFonts w:hint="eastAsia" w:ascii="仿宋" w:hAnsi="仿宋" w:eastAsia="仿宋" w:cs="仿宋"/>
          <w:kern w:val="0"/>
          <w:sz w:val="30"/>
          <w:szCs w:val="30"/>
        </w:rPr>
      </w:pPr>
      <w:r>
        <w:rPr>
          <w:rFonts w:hint="eastAsia" w:ascii="仿宋" w:hAnsi="仿宋" w:eastAsia="仿宋" w:cs="仿宋"/>
          <w:kern w:val="0"/>
          <w:sz w:val="30"/>
          <w:szCs w:val="30"/>
        </w:rPr>
        <w:t>配备兼职人员2人，协调</w:t>
      </w:r>
      <w:r>
        <w:rPr>
          <w:rFonts w:hint="eastAsia" w:ascii="仿宋" w:hAnsi="仿宋" w:eastAsia="仿宋" w:cs="仿宋"/>
          <w:kern w:val="0"/>
          <w:sz w:val="30"/>
          <w:szCs w:val="30"/>
          <w:lang w:eastAsia="zh-CN"/>
        </w:rPr>
        <w:t>解决</w:t>
      </w:r>
      <w:r>
        <w:rPr>
          <w:rFonts w:hint="eastAsia" w:ascii="仿宋" w:hAnsi="仿宋" w:eastAsia="仿宋" w:cs="仿宋"/>
          <w:kern w:val="0"/>
          <w:sz w:val="30"/>
          <w:szCs w:val="30"/>
        </w:rPr>
        <w:t>政府信息公开过程中的问题，整合网站、新媒体、新闻等力量，实现政府信息发布、依申请公开受理、政府信息咨询、信息保密审查等工作统一规范进行。</w:t>
      </w:r>
      <w:r>
        <w:rPr>
          <w:rFonts w:hint="eastAsia" w:ascii="仿宋" w:hAnsi="仿宋" w:eastAsia="仿宋" w:cs="仿宋"/>
          <w:kern w:val="0"/>
          <w:sz w:val="30"/>
          <w:szCs w:val="30"/>
          <w:lang w:eastAsia="zh-CN"/>
        </w:rPr>
        <w:t>同时，</w:t>
      </w:r>
      <w:r>
        <w:rPr>
          <w:rFonts w:hint="eastAsia" w:ascii="仿宋" w:hAnsi="仿宋" w:eastAsia="仿宋" w:cs="仿宋"/>
          <w:kern w:val="0"/>
          <w:sz w:val="30"/>
          <w:szCs w:val="30"/>
        </w:rPr>
        <w:t xml:space="preserve">加强政府信息公开工作制度建设，编制了淄博市投资促进局信息公开指南及目录，根据《中华人民共和国政府信息公开条例》，重新调整规范了市投资促进局主动公开制度、依申请公开制度等相关制度。 </w:t>
      </w:r>
    </w:p>
    <w:p>
      <w:pPr>
        <w:rPr>
          <w:rFonts w:ascii="仿宋" w:hAnsi="仿宋" w:eastAsia="仿宋" w:cs="仿宋"/>
          <w:sz w:val="32"/>
          <w:szCs w:val="32"/>
        </w:rPr>
      </w:pPr>
      <w:bookmarkStart w:id="0" w:name="_GoBack"/>
      <w:r>
        <w:rPr>
          <w:rFonts w:hint="eastAsia" w:ascii="仿宋" w:hAnsi="仿宋" w:eastAsia="仿宋" w:cs="仿宋"/>
          <w:sz w:val="32"/>
          <w:szCs w:val="32"/>
        </w:rPr>
        <w:drawing>
          <wp:inline distT="0" distB="0" distL="0" distR="0">
            <wp:extent cx="5274310" cy="1714500"/>
            <wp:effectExtent l="0" t="0" r="2540" b="0"/>
            <wp:docPr id="1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0"/>
                    <pic:cNvPicPr>
                      <a:picLocks noChangeAspect="1" noChangeArrowheads="1"/>
                    </pic:cNvPicPr>
                  </pic:nvPicPr>
                  <pic:blipFill>
                    <a:blip r:embed="rId11" cstate="print"/>
                    <a:srcRect/>
                    <a:stretch>
                      <a:fillRect/>
                    </a:stretch>
                  </pic:blipFill>
                  <pic:spPr>
                    <a:xfrm>
                      <a:off x="0" y="0"/>
                      <a:ext cx="5274310" cy="1714500"/>
                    </a:xfrm>
                    <a:prstGeom prst="rect">
                      <a:avLst/>
                    </a:prstGeom>
                    <a:noFill/>
                    <a:ln w="9525">
                      <a:noFill/>
                      <a:miter lim="800000"/>
                      <a:headEnd/>
                      <a:tailEnd/>
                    </a:ln>
                  </pic:spPr>
                </pic:pic>
              </a:graphicData>
            </a:graphic>
          </wp:inline>
        </w:drawing>
      </w:r>
      <w:bookmarkEnd w:id="0"/>
    </w:p>
    <w:p>
      <w:pPr>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二、主动公开政府信息情况</w:t>
      </w:r>
    </w:p>
    <w:tbl>
      <w:tblPr>
        <w:tblStyle w:val="7"/>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Layout w:type="fixed"/>
          <w:tblCellMar>
            <w:top w:w="0" w:type="dxa"/>
            <w:left w:w="108" w:type="dxa"/>
            <w:bottom w:w="0" w:type="dxa"/>
            <w:right w:w="108" w:type="dxa"/>
          </w:tblCellMar>
        </w:tblPrEx>
        <w:trPr>
          <w:trHeight w:val="473" w:hRule="atLeast"/>
          <w:jc w:val="center"/>
        </w:trPr>
        <w:tc>
          <w:tcPr>
            <w:tcW w:w="8931" w:type="dxa"/>
            <w:gridSpan w:val="4"/>
            <w:vAlign w:val="center"/>
          </w:tcPr>
          <w:p>
            <w:pPr>
              <w:jc w:val="center"/>
              <w:rPr>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jc w:val="center"/>
              <w:rPr>
                <w:sz w:val="24"/>
                <w:szCs w:val="24"/>
              </w:rPr>
            </w:pPr>
            <w:r>
              <w:rPr>
                <w:rFonts w:hint="eastAsia"/>
                <w:sz w:val="24"/>
                <w:szCs w:val="24"/>
              </w:rPr>
              <w:t>本年新制作数量</w:t>
            </w:r>
          </w:p>
        </w:tc>
        <w:tc>
          <w:tcPr>
            <w:tcW w:w="2030" w:type="dxa"/>
            <w:vAlign w:val="center"/>
          </w:tcPr>
          <w:p>
            <w:pPr>
              <w:jc w:val="center"/>
              <w:rPr>
                <w:sz w:val="24"/>
                <w:szCs w:val="24"/>
              </w:rPr>
            </w:pPr>
            <w:r>
              <w:rPr>
                <w:rFonts w:hint="eastAsia"/>
                <w:sz w:val="24"/>
                <w:szCs w:val="24"/>
              </w:rPr>
              <w:t>本年新</w:t>
            </w:r>
          </w:p>
          <w:p>
            <w:pPr>
              <w:jc w:val="center"/>
              <w:rPr>
                <w:sz w:val="24"/>
                <w:szCs w:val="24"/>
              </w:rPr>
            </w:pPr>
            <w:r>
              <w:rPr>
                <w:rFonts w:hint="eastAsia"/>
                <w:sz w:val="24"/>
                <w:szCs w:val="24"/>
              </w:rPr>
              <w:t>公开数量</w:t>
            </w:r>
          </w:p>
        </w:tc>
        <w:tc>
          <w:tcPr>
            <w:tcW w:w="2222" w:type="dxa"/>
            <w:vAlign w:val="center"/>
          </w:tcPr>
          <w:p>
            <w:pPr>
              <w:jc w:val="center"/>
              <w:rPr>
                <w:sz w:val="24"/>
                <w:szCs w:val="24"/>
              </w:rPr>
            </w:pPr>
            <w:r>
              <w:rPr>
                <w:rFonts w:hint="eastAsia"/>
                <w:sz w:val="24"/>
                <w:szCs w:val="24"/>
              </w:rPr>
              <w:t>对外公开</w:t>
            </w:r>
          </w:p>
          <w:p>
            <w:pPr>
              <w:jc w:val="center"/>
              <w:rPr>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694" w:type="dxa"/>
            <w:vAlign w:val="center"/>
          </w:tcPr>
          <w:p>
            <w:pPr>
              <w:rPr>
                <w:sz w:val="24"/>
                <w:szCs w:val="24"/>
              </w:rPr>
            </w:pPr>
            <w:r>
              <w:rPr>
                <w:rFonts w:hint="eastAsia"/>
                <w:sz w:val="24"/>
                <w:szCs w:val="24"/>
              </w:rPr>
              <w:t>规章</w:t>
            </w:r>
          </w:p>
        </w:tc>
        <w:tc>
          <w:tcPr>
            <w:tcW w:w="1985" w:type="dxa"/>
            <w:vAlign w:val="center"/>
          </w:tcPr>
          <w:p>
            <w:pPr>
              <w:rPr>
                <w:sz w:val="24"/>
                <w:szCs w:val="24"/>
              </w:rPr>
            </w:pPr>
            <w:r>
              <w:rPr>
                <w:rFonts w:hint="eastAsia"/>
                <w:sz w:val="24"/>
                <w:szCs w:val="24"/>
              </w:rPr>
              <w:t>0</w:t>
            </w:r>
          </w:p>
        </w:tc>
        <w:tc>
          <w:tcPr>
            <w:tcW w:w="2030" w:type="dxa"/>
            <w:vAlign w:val="center"/>
          </w:tcPr>
          <w:p>
            <w:pPr>
              <w:rPr>
                <w:sz w:val="24"/>
                <w:szCs w:val="24"/>
              </w:rPr>
            </w:pPr>
            <w:r>
              <w:rPr>
                <w:rFonts w:hint="eastAsia"/>
                <w:sz w:val="24"/>
                <w:szCs w:val="24"/>
              </w:rPr>
              <w:t>0</w:t>
            </w:r>
          </w:p>
        </w:tc>
        <w:tc>
          <w:tcPr>
            <w:tcW w:w="2222" w:type="dxa"/>
            <w:vAlign w:val="center"/>
          </w:tcPr>
          <w:p>
            <w:pP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2694" w:type="dxa"/>
            <w:vAlign w:val="center"/>
          </w:tcPr>
          <w:p>
            <w:pPr>
              <w:rPr>
                <w:sz w:val="24"/>
                <w:szCs w:val="24"/>
              </w:rPr>
            </w:pPr>
            <w:r>
              <w:rPr>
                <w:rFonts w:hint="eastAsia"/>
                <w:sz w:val="24"/>
                <w:szCs w:val="24"/>
              </w:rPr>
              <w:t>规范性文件</w:t>
            </w:r>
          </w:p>
        </w:tc>
        <w:tc>
          <w:tcPr>
            <w:tcW w:w="1985" w:type="dxa"/>
            <w:vAlign w:val="center"/>
          </w:tcPr>
          <w:p>
            <w:pPr>
              <w:rPr>
                <w:sz w:val="24"/>
                <w:szCs w:val="24"/>
              </w:rPr>
            </w:pPr>
            <w:r>
              <w:rPr>
                <w:rFonts w:hint="eastAsia"/>
                <w:sz w:val="24"/>
                <w:szCs w:val="24"/>
              </w:rPr>
              <w:t>0</w:t>
            </w:r>
          </w:p>
        </w:tc>
        <w:tc>
          <w:tcPr>
            <w:tcW w:w="2030" w:type="dxa"/>
            <w:vAlign w:val="center"/>
          </w:tcPr>
          <w:p>
            <w:pPr>
              <w:rPr>
                <w:sz w:val="24"/>
                <w:szCs w:val="24"/>
              </w:rPr>
            </w:pPr>
            <w:r>
              <w:rPr>
                <w:rFonts w:hint="eastAsia"/>
                <w:sz w:val="24"/>
                <w:szCs w:val="24"/>
              </w:rPr>
              <w:t>0</w:t>
            </w:r>
          </w:p>
        </w:tc>
        <w:tc>
          <w:tcPr>
            <w:tcW w:w="2222" w:type="dxa"/>
            <w:vAlign w:val="center"/>
          </w:tcPr>
          <w:p>
            <w:pP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931" w:type="dxa"/>
            <w:gridSpan w:val="4"/>
            <w:vAlign w:val="center"/>
          </w:tcPr>
          <w:p>
            <w:pPr>
              <w:jc w:val="center"/>
              <w:rPr>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rPr>
                <w:sz w:val="24"/>
                <w:szCs w:val="24"/>
              </w:rPr>
            </w:pPr>
            <w:r>
              <w:rPr>
                <w:rFonts w:hint="eastAsia"/>
                <w:sz w:val="24"/>
                <w:szCs w:val="24"/>
              </w:rPr>
              <w:t>上一年项目数量</w:t>
            </w:r>
          </w:p>
        </w:tc>
        <w:tc>
          <w:tcPr>
            <w:tcW w:w="2030" w:type="dxa"/>
            <w:vAlign w:val="center"/>
          </w:tcPr>
          <w:p>
            <w:pPr>
              <w:jc w:val="center"/>
              <w:rPr>
                <w:sz w:val="24"/>
                <w:szCs w:val="24"/>
              </w:rPr>
            </w:pPr>
            <w:r>
              <w:rPr>
                <w:rFonts w:hint="eastAsia"/>
                <w:sz w:val="24"/>
                <w:szCs w:val="24"/>
              </w:rPr>
              <w:t>本年增/减</w:t>
            </w:r>
          </w:p>
        </w:tc>
        <w:tc>
          <w:tcPr>
            <w:tcW w:w="2222" w:type="dxa"/>
            <w:vAlign w:val="center"/>
          </w:tcPr>
          <w:p>
            <w:pPr>
              <w:jc w:val="center"/>
              <w:rPr>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694" w:type="dxa"/>
            <w:vAlign w:val="center"/>
          </w:tcPr>
          <w:p>
            <w:pPr>
              <w:rPr>
                <w:sz w:val="24"/>
                <w:szCs w:val="24"/>
              </w:rPr>
            </w:pPr>
            <w:r>
              <w:rPr>
                <w:rFonts w:hint="eastAsia"/>
                <w:sz w:val="24"/>
                <w:szCs w:val="24"/>
              </w:rPr>
              <w:t>行政许可</w:t>
            </w:r>
          </w:p>
        </w:tc>
        <w:tc>
          <w:tcPr>
            <w:tcW w:w="1985" w:type="dxa"/>
            <w:vAlign w:val="center"/>
          </w:tcPr>
          <w:p>
            <w:pPr>
              <w:rPr>
                <w:sz w:val="24"/>
                <w:szCs w:val="24"/>
              </w:rPr>
            </w:pPr>
            <w:r>
              <w:rPr>
                <w:rFonts w:hint="eastAsia"/>
                <w:sz w:val="24"/>
                <w:szCs w:val="24"/>
              </w:rPr>
              <w:t>0</w:t>
            </w:r>
          </w:p>
        </w:tc>
        <w:tc>
          <w:tcPr>
            <w:tcW w:w="2030" w:type="dxa"/>
            <w:vAlign w:val="center"/>
          </w:tcPr>
          <w:p>
            <w:pPr>
              <w:rPr>
                <w:sz w:val="24"/>
                <w:szCs w:val="24"/>
              </w:rPr>
            </w:pPr>
            <w:r>
              <w:rPr>
                <w:rFonts w:hint="eastAsia"/>
                <w:sz w:val="24"/>
                <w:szCs w:val="24"/>
              </w:rPr>
              <w:t>0</w:t>
            </w:r>
          </w:p>
        </w:tc>
        <w:tc>
          <w:tcPr>
            <w:tcW w:w="2222" w:type="dxa"/>
            <w:vAlign w:val="center"/>
          </w:tcPr>
          <w:p>
            <w:pP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2694" w:type="dxa"/>
            <w:vAlign w:val="center"/>
          </w:tcPr>
          <w:p>
            <w:pPr>
              <w:rPr>
                <w:sz w:val="24"/>
                <w:szCs w:val="24"/>
              </w:rPr>
            </w:pPr>
            <w:r>
              <w:rPr>
                <w:rFonts w:hint="eastAsia"/>
                <w:sz w:val="24"/>
                <w:szCs w:val="24"/>
              </w:rPr>
              <w:t>其他对外管理服务事项</w:t>
            </w:r>
          </w:p>
        </w:tc>
        <w:tc>
          <w:tcPr>
            <w:tcW w:w="1985" w:type="dxa"/>
            <w:vAlign w:val="center"/>
          </w:tcPr>
          <w:p>
            <w:pPr>
              <w:rPr>
                <w:sz w:val="24"/>
                <w:szCs w:val="24"/>
              </w:rPr>
            </w:pPr>
            <w:r>
              <w:rPr>
                <w:rFonts w:hint="eastAsia"/>
                <w:sz w:val="24"/>
                <w:szCs w:val="24"/>
              </w:rPr>
              <w:t>0</w:t>
            </w:r>
          </w:p>
        </w:tc>
        <w:tc>
          <w:tcPr>
            <w:tcW w:w="2030" w:type="dxa"/>
            <w:vAlign w:val="center"/>
          </w:tcPr>
          <w:p>
            <w:pPr>
              <w:rPr>
                <w:sz w:val="24"/>
                <w:szCs w:val="24"/>
              </w:rPr>
            </w:pPr>
            <w:r>
              <w:rPr>
                <w:rFonts w:hint="eastAsia"/>
                <w:sz w:val="24"/>
                <w:szCs w:val="24"/>
              </w:rPr>
              <w:t>0</w:t>
            </w:r>
          </w:p>
        </w:tc>
        <w:tc>
          <w:tcPr>
            <w:tcW w:w="2222" w:type="dxa"/>
            <w:vAlign w:val="center"/>
          </w:tcPr>
          <w:p>
            <w:pP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931" w:type="dxa"/>
            <w:gridSpan w:val="4"/>
            <w:vAlign w:val="center"/>
          </w:tcPr>
          <w:p>
            <w:pPr>
              <w:jc w:val="center"/>
              <w:rPr>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rPr>
                <w:sz w:val="24"/>
                <w:szCs w:val="24"/>
              </w:rPr>
            </w:pPr>
            <w:r>
              <w:rPr>
                <w:rFonts w:hint="eastAsia"/>
                <w:sz w:val="24"/>
                <w:szCs w:val="24"/>
              </w:rPr>
              <w:t>上一年项目数量</w:t>
            </w:r>
          </w:p>
        </w:tc>
        <w:tc>
          <w:tcPr>
            <w:tcW w:w="2030" w:type="dxa"/>
            <w:vAlign w:val="center"/>
          </w:tcPr>
          <w:p>
            <w:pPr>
              <w:jc w:val="center"/>
              <w:rPr>
                <w:sz w:val="24"/>
                <w:szCs w:val="24"/>
              </w:rPr>
            </w:pPr>
            <w:r>
              <w:rPr>
                <w:rFonts w:hint="eastAsia"/>
                <w:sz w:val="24"/>
                <w:szCs w:val="24"/>
              </w:rPr>
              <w:t>本年增/减</w:t>
            </w:r>
          </w:p>
        </w:tc>
        <w:tc>
          <w:tcPr>
            <w:tcW w:w="2222" w:type="dxa"/>
            <w:vAlign w:val="center"/>
          </w:tcPr>
          <w:p>
            <w:pPr>
              <w:jc w:val="center"/>
              <w:rPr>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694" w:type="dxa"/>
            <w:vAlign w:val="center"/>
          </w:tcPr>
          <w:p>
            <w:pPr>
              <w:rPr>
                <w:sz w:val="24"/>
                <w:szCs w:val="24"/>
              </w:rPr>
            </w:pPr>
            <w:r>
              <w:rPr>
                <w:rFonts w:hint="eastAsia"/>
                <w:sz w:val="24"/>
                <w:szCs w:val="24"/>
              </w:rPr>
              <w:t>行政处罚</w:t>
            </w:r>
          </w:p>
        </w:tc>
        <w:tc>
          <w:tcPr>
            <w:tcW w:w="1985" w:type="dxa"/>
            <w:vAlign w:val="center"/>
          </w:tcPr>
          <w:p>
            <w:pPr>
              <w:rPr>
                <w:sz w:val="24"/>
                <w:szCs w:val="24"/>
              </w:rPr>
            </w:pPr>
            <w:r>
              <w:rPr>
                <w:rFonts w:hint="eastAsia"/>
                <w:sz w:val="24"/>
                <w:szCs w:val="24"/>
              </w:rPr>
              <w:t>0</w:t>
            </w:r>
          </w:p>
        </w:tc>
        <w:tc>
          <w:tcPr>
            <w:tcW w:w="2030" w:type="dxa"/>
            <w:vAlign w:val="center"/>
          </w:tcPr>
          <w:p>
            <w:pPr>
              <w:rPr>
                <w:sz w:val="24"/>
                <w:szCs w:val="24"/>
              </w:rPr>
            </w:pPr>
            <w:r>
              <w:rPr>
                <w:rFonts w:hint="eastAsia"/>
                <w:sz w:val="24"/>
                <w:szCs w:val="24"/>
              </w:rPr>
              <w:t>0</w:t>
            </w:r>
          </w:p>
        </w:tc>
        <w:tc>
          <w:tcPr>
            <w:tcW w:w="2222" w:type="dxa"/>
            <w:vAlign w:val="center"/>
          </w:tcPr>
          <w:p>
            <w:pP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694" w:type="dxa"/>
            <w:vAlign w:val="center"/>
          </w:tcPr>
          <w:p>
            <w:pPr>
              <w:rPr>
                <w:sz w:val="24"/>
                <w:szCs w:val="24"/>
              </w:rPr>
            </w:pPr>
            <w:r>
              <w:rPr>
                <w:rFonts w:hint="eastAsia"/>
                <w:sz w:val="24"/>
                <w:szCs w:val="24"/>
              </w:rPr>
              <w:t>行政强制</w:t>
            </w:r>
          </w:p>
        </w:tc>
        <w:tc>
          <w:tcPr>
            <w:tcW w:w="1985" w:type="dxa"/>
            <w:vAlign w:val="center"/>
          </w:tcPr>
          <w:p>
            <w:pPr>
              <w:rPr>
                <w:sz w:val="24"/>
                <w:szCs w:val="24"/>
              </w:rPr>
            </w:pPr>
            <w:r>
              <w:rPr>
                <w:rFonts w:hint="eastAsia"/>
                <w:sz w:val="24"/>
                <w:szCs w:val="24"/>
              </w:rPr>
              <w:t>0</w:t>
            </w:r>
          </w:p>
        </w:tc>
        <w:tc>
          <w:tcPr>
            <w:tcW w:w="2030" w:type="dxa"/>
            <w:vAlign w:val="center"/>
          </w:tcPr>
          <w:p>
            <w:pPr>
              <w:rPr>
                <w:sz w:val="24"/>
                <w:szCs w:val="24"/>
              </w:rPr>
            </w:pPr>
            <w:r>
              <w:rPr>
                <w:rFonts w:hint="eastAsia"/>
                <w:sz w:val="24"/>
                <w:szCs w:val="24"/>
              </w:rPr>
              <w:t>0</w:t>
            </w:r>
          </w:p>
        </w:tc>
        <w:tc>
          <w:tcPr>
            <w:tcW w:w="2222" w:type="dxa"/>
            <w:vAlign w:val="center"/>
          </w:tcPr>
          <w:p>
            <w:pP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8931" w:type="dxa"/>
            <w:gridSpan w:val="4"/>
            <w:vAlign w:val="center"/>
          </w:tcPr>
          <w:p>
            <w:pPr>
              <w:jc w:val="center"/>
              <w:rPr>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rPr>
                <w:sz w:val="24"/>
                <w:szCs w:val="24"/>
              </w:rPr>
            </w:pPr>
            <w:r>
              <w:rPr>
                <w:rFonts w:hint="eastAsia"/>
                <w:sz w:val="24"/>
                <w:szCs w:val="24"/>
              </w:rPr>
              <w:t>上一年项目数量</w:t>
            </w:r>
          </w:p>
        </w:tc>
        <w:tc>
          <w:tcPr>
            <w:tcW w:w="4252" w:type="dxa"/>
            <w:gridSpan w:val="2"/>
            <w:vAlign w:val="center"/>
          </w:tcPr>
          <w:p>
            <w:pPr>
              <w:jc w:val="center"/>
              <w:rPr>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2694" w:type="dxa"/>
            <w:vAlign w:val="center"/>
          </w:tcPr>
          <w:p>
            <w:pPr>
              <w:rPr>
                <w:sz w:val="24"/>
                <w:szCs w:val="24"/>
              </w:rPr>
            </w:pPr>
            <w:r>
              <w:rPr>
                <w:rFonts w:hint="eastAsia"/>
                <w:sz w:val="24"/>
                <w:szCs w:val="24"/>
              </w:rPr>
              <w:t>行政事业性收费</w:t>
            </w:r>
          </w:p>
        </w:tc>
        <w:tc>
          <w:tcPr>
            <w:tcW w:w="1985" w:type="dxa"/>
            <w:vAlign w:val="center"/>
          </w:tcPr>
          <w:p>
            <w:pPr>
              <w:rPr>
                <w:sz w:val="24"/>
                <w:szCs w:val="24"/>
              </w:rPr>
            </w:pPr>
            <w:r>
              <w:rPr>
                <w:rFonts w:hint="eastAsia"/>
                <w:sz w:val="24"/>
                <w:szCs w:val="24"/>
              </w:rPr>
              <w:t>0</w:t>
            </w:r>
          </w:p>
        </w:tc>
        <w:tc>
          <w:tcPr>
            <w:tcW w:w="4252" w:type="dxa"/>
            <w:gridSpan w:val="2"/>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8931" w:type="dxa"/>
            <w:gridSpan w:val="4"/>
            <w:vAlign w:val="center"/>
          </w:tcPr>
          <w:p>
            <w:pPr>
              <w:jc w:val="center"/>
              <w:rPr>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jc w:val="center"/>
              <w:rPr>
                <w:sz w:val="24"/>
                <w:szCs w:val="24"/>
              </w:rPr>
            </w:pPr>
            <w:r>
              <w:rPr>
                <w:rFonts w:hint="eastAsia"/>
                <w:sz w:val="24"/>
                <w:szCs w:val="24"/>
              </w:rPr>
              <w:t>采购项目数量</w:t>
            </w:r>
          </w:p>
        </w:tc>
        <w:tc>
          <w:tcPr>
            <w:tcW w:w="4252" w:type="dxa"/>
            <w:gridSpan w:val="2"/>
            <w:vAlign w:val="center"/>
          </w:tcPr>
          <w:p>
            <w:pPr>
              <w:jc w:val="center"/>
              <w:rPr>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2694" w:type="dxa"/>
            <w:vAlign w:val="center"/>
          </w:tcPr>
          <w:p>
            <w:pPr>
              <w:rPr>
                <w:sz w:val="24"/>
                <w:szCs w:val="24"/>
              </w:rPr>
            </w:pPr>
            <w:r>
              <w:rPr>
                <w:rFonts w:hint="eastAsia"/>
                <w:sz w:val="24"/>
                <w:szCs w:val="24"/>
              </w:rPr>
              <w:t>政府集中采购</w:t>
            </w:r>
          </w:p>
        </w:tc>
        <w:tc>
          <w:tcPr>
            <w:tcW w:w="1985" w:type="dxa"/>
            <w:vAlign w:val="center"/>
          </w:tcPr>
          <w:p>
            <w:pPr>
              <w:rPr>
                <w:sz w:val="24"/>
                <w:szCs w:val="24"/>
              </w:rPr>
            </w:pPr>
            <w:r>
              <w:rPr>
                <w:rFonts w:hint="eastAsia"/>
                <w:sz w:val="24"/>
                <w:szCs w:val="24"/>
              </w:rPr>
              <w:t xml:space="preserve"> 18</w:t>
            </w:r>
          </w:p>
        </w:tc>
        <w:tc>
          <w:tcPr>
            <w:tcW w:w="4252" w:type="dxa"/>
            <w:gridSpan w:val="2"/>
            <w:vAlign w:val="center"/>
          </w:tcPr>
          <w:p>
            <w:pPr>
              <w:ind w:firstLine="120" w:firstLineChars="50"/>
              <w:rPr>
                <w:sz w:val="24"/>
                <w:szCs w:val="24"/>
              </w:rPr>
            </w:pPr>
            <w:r>
              <w:rPr>
                <w:rFonts w:hint="eastAsia"/>
                <w:sz w:val="24"/>
                <w:szCs w:val="24"/>
              </w:rPr>
              <w:t>37.79万元</w:t>
            </w:r>
          </w:p>
        </w:tc>
      </w:tr>
    </w:tbl>
    <w:p>
      <w:pPr>
        <w:rPr>
          <w:rFonts w:hint="eastAsia" w:ascii="黑体" w:hAnsi="黑体" w:eastAsia="黑体" w:cs="黑体"/>
          <w:b w:val="0"/>
          <w:bCs/>
          <w:sz w:val="28"/>
          <w:szCs w:val="28"/>
        </w:rPr>
      </w:pPr>
      <w:r>
        <w:rPr>
          <w:rFonts w:hint="eastAsia" w:ascii="黑体" w:hAnsi="黑体" w:eastAsia="黑体" w:cs="黑体"/>
          <w:b w:val="0"/>
          <w:bCs/>
          <w:sz w:val="28"/>
          <w:szCs w:val="28"/>
        </w:rPr>
        <w:t>三、收到和处理政府信息公开申请情况</w:t>
      </w:r>
    </w:p>
    <w:tbl>
      <w:tblPr>
        <w:tblStyle w:val="7"/>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820" w:type="dxa"/>
            <w:gridSpan w:val="3"/>
            <w:vMerge w:val="restart"/>
            <w:vAlign w:val="center"/>
          </w:tcPr>
          <w:p>
            <w:r>
              <w:rPr>
                <w:rFonts w:hint="eastAsia"/>
              </w:rPr>
              <w:t>（本列数据的勾稽关系为：第一项加第二项之和，等于第三项加第四项之和）</w:t>
            </w:r>
          </w:p>
        </w:tc>
        <w:tc>
          <w:tcPr>
            <w:tcW w:w="4961" w:type="dxa"/>
            <w:gridSpan w:val="7"/>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4820" w:type="dxa"/>
            <w:gridSpan w:val="3"/>
            <w:vMerge w:val="continue"/>
          </w:tcPr>
          <w:p/>
        </w:tc>
        <w:tc>
          <w:tcPr>
            <w:tcW w:w="567" w:type="dxa"/>
            <w:vMerge w:val="restart"/>
            <w:vAlign w:val="center"/>
          </w:tcPr>
          <w:p>
            <w:pPr>
              <w:jc w:val="center"/>
              <w:rPr>
                <w:sz w:val="18"/>
                <w:szCs w:val="18"/>
              </w:rPr>
            </w:pPr>
            <w:r>
              <w:rPr>
                <w:rFonts w:hint="eastAsia"/>
                <w:szCs w:val="21"/>
              </w:rPr>
              <w:t>自然人</w:t>
            </w:r>
          </w:p>
        </w:tc>
        <w:tc>
          <w:tcPr>
            <w:tcW w:w="3544" w:type="dxa"/>
            <w:gridSpan w:val="5"/>
            <w:vAlign w:val="center"/>
          </w:tcPr>
          <w:p>
            <w:pPr>
              <w:jc w:val="center"/>
              <w:rPr>
                <w:szCs w:val="21"/>
              </w:rPr>
            </w:pPr>
            <w:r>
              <w:rPr>
                <w:rFonts w:hint="eastAsia"/>
                <w:szCs w:val="21"/>
              </w:rPr>
              <w:t>法人或其他组织</w:t>
            </w:r>
          </w:p>
        </w:tc>
        <w:tc>
          <w:tcPr>
            <w:tcW w:w="850" w:type="dxa"/>
            <w:vMerge w:val="restart"/>
            <w:vAlign w:val="center"/>
          </w:tcPr>
          <w:p>
            <w:pP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4820" w:type="dxa"/>
            <w:gridSpan w:val="3"/>
            <w:vMerge w:val="continue"/>
          </w:tcPr>
          <w:p/>
        </w:tc>
        <w:tc>
          <w:tcPr>
            <w:tcW w:w="567" w:type="dxa"/>
            <w:vMerge w:val="continue"/>
          </w:tcPr>
          <w:p>
            <w:pPr>
              <w:rPr>
                <w:sz w:val="18"/>
                <w:szCs w:val="18"/>
              </w:rPr>
            </w:pPr>
          </w:p>
        </w:tc>
        <w:tc>
          <w:tcPr>
            <w:tcW w:w="709" w:type="dxa"/>
            <w:vAlign w:val="center"/>
          </w:tcPr>
          <w:p>
            <w:pPr>
              <w:rPr>
                <w:szCs w:val="21"/>
              </w:rPr>
            </w:pPr>
            <w:r>
              <w:rPr>
                <w:rFonts w:hint="eastAsia"/>
                <w:szCs w:val="21"/>
              </w:rPr>
              <w:t>商业企业</w:t>
            </w:r>
          </w:p>
        </w:tc>
        <w:tc>
          <w:tcPr>
            <w:tcW w:w="708" w:type="dxa"/>
            <w:vAlign w:val="center"/>
          </w:tcPr>
          <w:p>
            <w:pPr>
              <w:rPr>
                <w:szCs w:val="21"/>
              </w:rPr>
            </w:pPr>
            <w:r>
              <w:rPr>
                <w:rFonts w:hint="eastAsia"/>
                <w:szCs w:val="21"/>
              </w:rPr>
              <w:t>科研机构</w:t>
            </w:r>
          </w:p>
        </w:tc>
        <w:tc>
          <w:tcPr>
            <w:tcW w:w="709" w:type="dxa"/>
            <w:vAlign w:val="center"/>
          </w:tcPr>
          <w:p>
            <w:pPr>
              <w:rPr>
                <w:szCs w:val="21"/>
              </w:rPr>
            </w:pPr>
            <w:r>
              <w:rPr>
                <w:rFonts w:hint="eastAsia"/>
                <w:szCs w:val="21"/>
              </w:rPr>
              <w:t>社会公益组织</w:t>
            </w:r>
          </w:p>
        </w:tc>
        <w:tc>
          <w:tcPr>
            <w:tcW w:w="709" w:type="dxa"/>
            <w:vAlign w:val="center"/>
          </w:tcPr>
          <w:p>
            <w:pPr>
              <w:rPr>
                <w:szCs w:val="21"/>
              </w:rPr>
            </w:pPr>
            <w:r>
              <w:rPr>
                <w:rFonts w:hint="eastAsia"/>
                <w:szCs w:val="21"/>
              </w:rPr>
              <w:t>法律服务机构</w:t>
            </w:r>
          </w:p>
        </w:tc>
        <w:tc>
          <w:tcPr>
            <w:tcW w:w="709" w:type="dxa"/>
            <w:vAlign w:val="center"/>
          </w:tcPr>
          <w:p>
            <w:pPr>
              <w:rPr>
                <w:szCs w:val="21"/>
              </w:rPr>
            </w:pPr>
            <w:r>
              <w:rPr>
                <w:rFonts w:hint="eastAsia"/>
                <w:szCs w:val="21"/>
              </w:rPr>
              <w:t>其他</w:t>
            </w:r>
          </w:p>
        </w:tc>
        <w:tc>
          <w:tcPr>
            <w:tcW w:w="85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4820" w:type="dxa"/>
            <w:gridSpan w:val="3"/>
          </w:tcPr>
          <w:p>
            <w:r>
              <w:rPr>
                <w:rFonts w:hint="eastAsia"/>
              </w:rPr>
              <w:t>一、本年新收政府信息公开申请数量</w:t>
            </w:r>
          </w:p>
        </w:tc>
        <w:tc>
          <w:tcPr>
            <w:tcW w:w="567" w:type="dxa"/>
          </w:tcPr>
          <w:p>
            <w:r>
              <w:rPr>
                <w:rFonts w:hint="eastAsia"/>
              </w:rPr>
              <w:t>2</w:t>
            </w:r>
          </w:p>
        </w:tc>
        <w:tc>
          <w:tcPr>
            <w:tcW w:w="709" w:type="dxa"/>
            <w:vAlign w:val="center"/>
          </w:tcPr>
          <w:p>
            <w:pPr>
              <w:rPr>
                <w:szCs w:val="21"/>
              </w:rPr>
            </w:pPr>
            <w:r>
              <w:rPr>
                <w:rFonts w:hint="eastAsia"/>
                <w:szCs w:val="21"/>
              </w:rPr>
              <w:t>0</w:t>
            </w:r>
          </w:p>
        </w:tc>
        <w:tc>
          <w:tcPr>
            <w:tcW w:w="708"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850" w:type="dxa"/>
            <w:vAlign w:val="center"/>
          </w:tcPr>
          <w:p>
            <w:pP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4820" w:type="dxa"/>
            <w:gridSpan w:val="3"/>
          </w:tcPr>
          <w:p>
            <w:r>
              <w:rPr>
                <w:rFonts w:hint="eastAsia"/>
              </w:rPr>
              <w:t>二、上年结转政府信息公开申请数量</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67" w:type="dxa"/>
            <w:vMerge w:val="restart"/>
            <w:vAlign w:val="center"/>
          </w:tcPr>
          <w:p>
            <w:r>
              <w:rPr>
                <w:rFonts w:hint="eastAsia"/>
              </w:rPr>
              <w:t>三、本年度办理结果</w:t>
            </w:r>
          </w:p>
        </w:tc>
        <w:tc>
          <w:tcPr>
            <w:tcW w:w="4253"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67" w:type="dxa"/>
          </w:tcPr>
          <w:p>
            <w:r>
              <w:rPr>
                <w:rFonts w:hint="eastAsia"/>
              </w:rPr>
              <w:t>2</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tc>
        <w:tc>
          <w:tcPr>
            <w:tcW w:w="4253"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67" w:type="dxa"/>
            <w:vMerge w:val="continue"/>
          </w:tcPr>
          <w:p/>
        </w:tc>
        <w:tc>
          <w:tcPr>
            <w:tcW w:w="1560"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93"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67" w:type="dxa"/>
            <w:vMerge w:val="continue"/>
          </w:tcPr>
          <w:p/>
        </w:tc>
        <w:tc>
          <w:tcPr>
            <w:tcW w:w="1560" w:type="dxa"/>
            <w:vMerge w:val="continue"/>
            <w:vAlign w:val="center"/>
          </w:tcPr>
          <w:p>
            <w:pPr>
              <w:rPr>
                <w:rFonts w:asciiTheme="minorEastAsia" w:hAnsiTheme="minor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67" w:type="dxa"/>
            <w:vMerge w:val="continue"/>
          </w:tcPr>
          <w:p/>
        </w:tc>
        <w:tc>
          <w:tcPr>
            <w:tcW w:w="1560" w:type="dxa"/>
            <w:vMerge w:val="continue"/>
            <w:vAlign w:val="center"/>
          </w:tcPr>
          <w:p>
            <w:pPr>
              <w:rPr>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7" w:type="dxa"/>
            <w:vMerge w:val="continue"/>
          </w:tcPr>
          <w:p/>
        </w:tc>
        <w:tc>
          <w:tcPr>
            <w:tcW w:w="1560" w:type="dxa"/>
            <w:vMerge w:val="continue"/>
            <w:vAlign w:val="center"/>
          </w:tcPr>
          <w:p>
            <w:pPr>
              <w:rPr>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567" w:type="dxa"/>
            <w:vMerge w:val="continue"/>
          </w:tcPr>
          <w:p/>
        </w:tc>
        <w:tc>
          <w:tcPr>
            <w:tcW w:w="1560" w:type="dxa"/>
            <w:vMerge w:val="continue"/>
            <w:vAlign w:val="center"/>
          </w:tcPr>
          <w:p>
            <w:pPr>
              <w:rPr>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67" w:type="dxa"/>
            <w:vMerge w:val="continue"/>
          </w:tcPr>
          <w:p/>
        </w:tc>
        <w:tc>
          <w:tcPr>
            <w:tcW w:w="1560" w:type="dxa"/>
            <w:vMerge w:val="continue"/>
            <w:vAlign w:val="center"/>
          </w:tcPr>
          <w:p>
            <w:pPr>
              <w:rPr>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67" w:type="dxa"/>
            <w:vMerge w:val="continue"/>
          </w:tcPr>
          <w:p/>
        </w:tc>
        <w:tc>
          <w:tcPr>
            <w:tcW w:w="1560" w:type="dxa"/>
            <w:vMerge w:val="continue"/>
            <w:vAlign w:val="center"/>
          </w:tcPr>
          <w:p>
            <w:pPr>
              <w:rPr>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567" w:type="dxa"/>
            <w:vMerge w:val="continue"/>
          </w:tcPr>
          <w:p/>
        </w:tc>
        <w:tc>
          <w:tcPr>
            <w:tcW w:w="1560" w:type="dxa"/>
            <w:vMerge w:val="continue"/>
            <w:vAlign w:val="center"/>
          </w:tcPr>
          <w:p>
            <w:pPr>
              <w:rPr>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567" w:type="dxa"/>
            <w:vMerge w:val="continue"/>
          </w:tcPr>
          <w:p/>
        </w:tc>
        <w:tc>
          <w:tcPr>
            <w:tcW w:w="1560" w:type="dxa"/>
            <w:vMerge w:val="restart"/>
            <w:vAlign w:val="center"/>
          </w:tcPr>
          <w:p>
            <w:pPr>
              <w:rPr>
                <w:sz w:val="18"/>
                <w:szCs w:val="18"/>
              </w:rPr>
            </w:pPr>
            <w:r>
              <w:rPr>
                <w:rFonts w:hint="eastAsia"/>
                <w:sz w:val="18"/>
                <w:szCs w:val="18"/>
              </w:rPr>
              <w:t>（四）无法提供</w:t>
            </w:r>
          </w:p>
        </w:tc>
        <w:tc>
          <w:tcPr>
            <w:tcW w:w="2693"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67" w:type="dxa"/>
            <w:vMerge w:val="continue"/>
          </w:tcPr>
          <w:p/>
        </w:tc>
        <w:tc>
          <w:tcPr>
            <w:tcW w:w="1560" w:type="dxa"/>
            <w:vMerge w:val="continue"/>
            <w:vAlign w:val="center"/>
          </w:tcPr>
          <w:p>
            <w:pPr>
              <w:rPr>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tc>
        <w:tc>
          <w:tcPr>
            <w:tcW w:w="1560" w:type="dxa"/>
            <w:vMerge w:val="continue"/>
            <w:vAlign w:val="center"/>
          </w:tcPr>
          <w:p>
            <w:pPr>
              <w:rPr>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67" w:type="dxa"/>
            <w:vMerge w:val="continue"/>
          </w:tcPr>
          <w:p/>
        </w:tc>
        <w:tc>
          <w:tcPr>
            <w:tcW w:w="1560" w:type="dxa"/>
            <w:vMerge w:val="restart"/>
            <w:vAlign w:val="center"/>
          </w:tcPr>
          <w:p>
            <w:pPr>
              <w:rPr>
                <w:sz w:val="18"/>
                <w:szCs w:val="18"/>
              </w:rPr>
            </w:pPr>
            <w:r>
              <w:rPr>
                <w:rFonts w:hint="eastAsia"/>
                <w:sz w:val="18"/>
                <w:szCs w:val="18"/>
              </w:rPr>
              <w:t>（五）</w:t>
            </w:r>
            <w:r>
              <w:rPr>
                <w:rFonts w:hint="eastAsia" w:asciiTheme="minorEastAsia" w:hAnsiTheme="minorEastAsia"/>
                <w:sz w:val="18"/>
                <w:szCs w:val="18"/>
              </w:rPr>
              <w:t>不予处理</w:t>
            </w:r>
          </w:p>
        </w:tc>
        <w:tc>
          <w:tcPr>
            <w:tcW w:w="2693"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tc>
        <w:tc>
          <w:tcPr>
            <w:tcW w:w="1560" w:type="dxa"/>
            <w:vMerge w:val="continue"/>
          </w:tcPr>
          <w:p/>
        </w:tc>
        <w:tc>
          <w:tcPr>
            <w:tcW w:w="2693" w:type="dxa"/>
          </w:tcPr>
          <w:p>
            <w:pPr>
              <w:rPr>
                <w:rFonts w:asciiTheme="minorEastAsia" w:hAnsiTheme="minorEastAsia"/>
                <w:sz w:val="18"/>
                <w:szCs w:val="18"/>
              </w:rPr>
            </w:pPr>
            <w:r>
              <w:rPr>
                <w:rFonts w:hint="eastAsia" w:asciiTheme="minorEastAsia" w:hAnsiTheme="minorEastAsia"/>
                <w:sz w:val="18"/>
                <w:szCs w:val="18"/>
              </w:rPr>
              <w:t>2．重复申请</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567" w:type="dxa"/>
            <w:vMerge w:val="continue"/>
          </w:tcPr>
          <w:p/>
        </w:tc>
        <w:tc>
          <w:tcPr>
            <w:tcW w:w="1560" w:type="dxa"/>
            <w:vMerge w:val="continue"/>
          </w:tcPr>
          <w:p/>
        </w:tc>
        <w:tc>
          <w:tcPr>
            <w:tcW w:w="2693"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567" w:type="dxa"/>
            <w:vMerge w:val="continue"/>
          </w:tcPr>
          <w:p/>
        </w:tc>
        <w:tc>
          <w:tcPr>
            <w:tcW w:w="1560" w:type="dxa"/>
            <w:vMerge w:val="continue"/>
          </w:tcPr>
          <w:p/>
        </w:tc>
        <w:tc>
          <w:tcPr>
            <w:tcW w:w="2693"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tc>
        <w:tc>
          <w:tcPr>
            <w:tcW w:w="1560" w:type="dxa"/>
            <w:vMerge w:val="continue"/>
          </w:tcPr>
          <w:p/>
        </w:tc>
        <w:tc>
          <w:tcPr>
            <w:tcW w:w="2693"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567" w:type="dxa"/>
          </w:tcPr>
          <w:p/>
        </w:tc>
        <w:tc>
          <w:tcPr>
            <w:tcW w:w="4253" w:type="dxa"/>
            <w:gridSpan w:val="2"/>
            <w:vAlign w:val="center"/>
          </w:tcPr>
          <w:p>
            <w:pPr>
              <w:rPr>
                <w:sz w:val="18"/>
                <w:szCs w:val="18"/>
              </w:rPr>
            </w:pPr>
            <w:r>
              <w:rPr>
                <w:rFonts w:hint="eastAsia"/>
                <w:sz w:val="18"/>
                <w:szCs w:val="18"/>
              </w:rPr>
              <w:t>（六）其他处理</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67" w:type="dxa"/>
          </w:tcPr>
          <w:p/>
        </w:tc>
        <w:tc>
          <w:tcPr>
            <w:tcW w:w="4253" w:type="dxa"/>
            <w:gridSpan w:val="2"/>
            <w:vAlign w:val="center"/>
          </w:tcPr>
          <w:p>
            <w:pPr>
              <w:rPr>
                <w:sz w:val="18"/>
                <w:szCs w:val="18"/>
              </w:rPr>
            </w:pPr>
            <w:r>
              <w:rPr>
                <w:rFonts w:hint="eastAsia"/>
                <w:sz w:val="18"/>
                <w:szCs w:val="18"/>
              </w:rPr>
              <w:t>（七）总计</w:t>
            </w:r>
          </w:p>
        </w:tc>
        <w:tc>
          <w:tcPr>
            <w:tcW w:w="567" w:type="dxa"/>
          </w:tcPr>
          <w:p>
            <w:r>
              <w:rPr>
                <w:rFonts w:hint="eastAsia"/>
              </w:rPr>
              <w:t>2</w:t>
            </w:r>
          </w:p>
        </w:tc>
        <w:tc>
          <w:tcPr>
            <w:tcW w:w="709" w:type="dxa"/>
          </w:tcPr>
          <w:p>
            <w:r>
              <w:rPr>
                <w:rFonts w:hint="eastAsia"/>
              </w:rPr>
              <w:t>0</w:t>
            </w:r>
          </w:p>
        </w:tc>
        <w:tc>
          <w:tcPr>
            <w:tcW w:w="708" w:type="dxa"/>
          </w:tcPr>
          <w:p>
            <w:r>
              <w:rPr>
                <w:rFonts w:hint="eastAsia"/>
              </w:rPr>
              <w:t>0</w:t>
            </w:r>
          </w:p>
        </w:tc>
        <w:tc>
          <w:tcPr>
            <w:tcW w:w="709" w:type="dxa"/>
          </w:tcPr>
          <w:p/>
        </w:tc>
        <w:tc>
          <w:tcPr>
            <w:tcW w:w="709" w:type="dxa"/>
          </w:tcPr>
          <w:p>
            <w:r>
              <w:rPr>
                <w:rFonts w:hint="eastAsia"/>
              </w:rPr>
              <w:t>0</w:t>
            </w:r>
          </w:p>
        </w:tc>
        <w:tc>
          <w:tcPr>
            <w:tcW w:w="709" w:type="dxa"/>
          </w:tcPr>
          <w:p>
            <w:r>
              <w:rPr>
                <w:rFonts w:hint="eastAsia"/>
              </w:rPr>
              <w:t>0</w:t>
            </w:r>
          </w:p>
        </w:tc>
        <w:tc>
          <w:tcPr>
            <w:tcW w:w="850" w:type="dxa"/>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0" w:type="dxa"/>
            <w:gridSpan w:val="3"/>
            <w:vAlign w:val="center"/>
          </w:tcPr>
          <w:p>
            <w:r>
              <w:rPr>
                <w:rFonts w:hint="eastAsia"/>
              </w:rPr>
              <w:t>四、结转下年度继续办理</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bl>
    <w:p>
      <w:pPr>
        <w:rPr>
          <w:rFonts w:hint="eastAsia" w:ascii="黑体" w:hAnsi="黑体" w:eastAsia="黑体" w:cs="黑体"/>
          <w:b w:val="0"/>
          <w:bCs/>
          <w:sz w:val="28"/>
          <w:szCs w:val="28"/>
        </w:rPr>
      </w:pPr>
      <w:r>
        <w:rPr>
          <w:rFonts w:hint="eastAsia" w:ascii="黑体" w:hAnsi="黑体" w:eastAsia="黑体" w:cs="黑体"/>
          <w:b w:val="0"/>
          <w:bCs/>
          <w:sz w:val="28"/>
          <w:szCs w:val="28"/>
        </w:rPr>
        <w:t>四</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政府信息公开行政复议、行政诉讼情况</w:t>
      </w:r>
    </w:p>
    <w:tbl>
      <w:tblPr>
        <w:tblStyle w:val="7"/>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2" w:type="dxa"/>
            <w:gridSpan w:val="5"/>
            <w:vAlign w:val="center"/>
          </w:tcPr>
          <w:p>
            <w:pPr>
              <w:jc w:val="center"/>
              <w:rPr>
                <w:szCs w:val="21"/>
              </w:rPr>
            </w:pPr>
            <w:r>
              <w:rPr>
                <w:rFonts w:hint="eastAsia"/>
                <w:szCs w:val="21"/>
              </w:rPr>
              <w:t>行政复议</w:t>
            </w:r>
          </w:p>
        </w:tc>
        <w:tc>
          <w:tcPr>
            <w:tcW w:w="6804" w:type="dxa"/>
            <w:gridSpan w:val="10"/>
            <w:vAlign w:val="center"/>
          </w:tcPr>
          <w:p>
            <w:pPr>
              <w:jc w:val="center"/>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09" w:type="dxa"/>
            <w:vMerge w:val="restart"/>
            <w:vAlign w:val="center"/>
          </w:tcPr>
          <w:p>
            <w:pPr>
              <w:jc w:val="center"/>
              <w:rPr>
                <w:szCs w:val="21"/>
              </w:rPr>
            </w:pPr>
            <w:r>
              <w:rPr>
                <w:rFonts w:hint="eastAsia"/>
                <w:szCs w:val="21"/>
              </w:rPr>
              <w:t>结果维持</w:t>
            </w:r>
          </w:p>
        </w:tc>
        <w:tc>
          <w:tcPr>
            <w:tcW w:w="708" w:type="dxa"/>
            <w:vMerge w:val="restart"/>
            <w:vAlign w:val="center"/>
          </w:tcPr>
          <w:p>
            <w:pPr>
              <w:jc w:val="center"/>
              <w:rPr>
                <w:szCs w:val="21"/>
              </w:rPr>
            </w:pPr>
            <w:r>
              <w:rPr>
                <w:rFonts w:hint="eastAsia"/>
                <w:szCs w:val="21"/>
              </w:rPr>
              <w:t>结果纠正</w:t>
            </w:r>
          </w:p>
        </w:tc>
        <w:tc>
          <w:tcPr>
            <w:tcW w:w="709" w:type="dxa"/>
            <w:vMerge w:val="restart"/>
            <w:vAlign w:val="center"/>
          </w:tcPr>
          <w:p>
            <w:pPr>
              <w:jc w:val="center"/>
              <w:rPr>
                <w:szCs w:val="21"/>
              </w:rPr>
            </w:pPr>
            <w:r>
              <w:rPr>
                <w:rFonts w:hint="eastAsia"/>
                <w:szCs w:val="21"/>
              </w:rPr>
              <w:t>其他结果</w:t>
            </w:r>
          </w:p>
        </w:tc>
        <w:tc>
          <w:tcPr>
            <w:tcW w:w="682" w:type="dxa"/>
            <w:vMerge w:val="restart"/>
            <w:vAlign w:val="center"/>
          </w:tcPr>
          <w:p>
            <w:pPr>
              <w:jc w:val="center"/>
              <w:rPr>
                <w:szCs w:val="21"/>
              </w:rPr>
            </w:pPr>
            <w:r>
              <w:rPr>
                <w:rFonts w:hint="eastAsia"/>
                <w:szCs w:val="21"/>
              </w:rPr>
              <w:t>尚未审结</w:t>
            </w:r>
          </w:p>
        </w:tc>
        <w:tc>
          <w:tcPr>
            <w:tcW w:w="594" w:type="dxa"/>
            <w:vMerge w:val="restart"/>
            <w:vAlign w:val="center"/>
          </w:tcPr>
          <w:p>
            <w:pPr>
              <w:jc w:val="center"/>
              <w:rPr>
                <w:szCs w:val="21"/>
              </w:rPr>
            </w:pPr>
            <w:r>
              <w:rPr>
                <w:rFonts w:hint="eastAsia"/>
                <w:szCs w:val="21"/>
              </w:rPr>
              <w:t>总计</w:t>
            </w:r>
          </w:p>
        </w:tc>
        <w:tc>
          <w:tcPr>
            <w:tcW w:w="3402" w:type="dxa"/>
            <w:gridSpan w:val="5"/>
            <w:vAlign w:val="center"/>
          </w:tcPr>
          <w:p>
            <w:pPr>
              <w:jc w:val="center"/>
              <w:rPr>
                <w:szCs w:val="21"/>
              </w:rPr>
            </w:pPr>
            <w:r>
              <w:rPr>
                <w:rFonts w:hint="eastAsia"/>
                <w:szCs w:val="21"/>
              </w:rPr>
              <w:t>未经复议直接起诉</w:t>
            </w:r>
          </w:p>
        </w:tc>
        <w:tc>
          <w:tcPr>
            <w:tcW w:w="3402" w:type="dxa"/>
            <w:gridSpan w:val="5"/>
            <w:vAlign w:val="center"/>
          </w:tcPr>
          <w:p>
            <w:pPr>
              <w:jc w:val="center"/>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jc w:val="center"/>
              <w:rPr>
                <w:sz w:val="18"/>
                <w:szCs w:val="18"/>
              </w:rPr>
            </w:pPr>
          </w:p>
        </w:tc>
        <w:tc>
          <w:tcPr>
            <w:tcW w:w="708"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682" w:type="dxa"/>
            <w:vMerge w:val="continue"/>
            <w:vAlign w:val="center"/>
          </w:tcPr>
          <w:p>
            <w:pPr>
              <w:jc w:val="center"/>
              <w:rPr>
                <w:szCs w:val="21"/>
              </w:rPr>
            </w:pPr>
          </w:p>
        </w:tc>
        <w:tc>
          <w:tcPr>
            <w:tcW w:w="594" w:type="dxa"/>
            <w:vMerge w:val="continue"/>
            <w:vAlign w:val="center"/>
          </w:tcPr>
          <w:p>
            <w:pPr>
              <w:jc w:val="center"/>
              <w:rPr>
                <w:szCs w:val="21"/>
              </w:rPr>
            </w:pPr>
          </w:p>
        </w:tc>
        <w:tc>
          <w:tcPr>
            <w:tcW w:w="709" w:type="dxa"/>
            <w:vAlign w:val="center"/>
          </w:tcPr>
          <w:p>
            <w:pPr>
              <w:jc w:val="center"/>
              <w:rPr>
                <w:szCs w:val="21"/>
              </w:rPr>
            </w:pPr>
            <w:r>
              <w:rPr>
                <w:rFonts w:hint="eastAsia"/>
                <w:szCs w:val="21"/>
              </w:rPr>
              <w:t>结果维持</w:t>
            </w:r>
          </w:p>
        </w:tc>
        <w:tc>
          <w:tcPr>
            <w:tcW w:w="709"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708" w:type="dxa"/>
            <w:vAlign w:val="center"/>
          </w:tcPr>
          <w:p>
            <w:pPr>
              <w:jc w:val="center"/>
              <w:rPr>
                <w:szCs w:val="21"/>
              </w:rPr>
            </w:pPr>
            <w:r>
              <w:rPr>
                <w:rFonts w:hint="eastAsia"/>
                <w:szCs w:val="21"/>
              </w:rPr>
              <w:t>尚未审结</w:t>
            </w:r>
          </w:p>
        </w:tc>
        <w:tc>
          <w:tcPr>
            <w:tcW w:w="567" w:type="dxa"/>
            <w:vAlign w:val="center"/>
          </w:tcPr>
          <w:p>
            <w:pPr>
              <w:jc w:val="center"/>
              <w:rPr>
                <w:szCs w:val="21"/>
              </w:rPr>
            </w:pPr>
            <w:r>
              <w:rPr>
                <w:rFonts w:hint="eastAsia"/>
                <w:szCs w:val="21"/>
              </w:rPr>
              <w:t>总计</w:t>
            </w:r>
          </w:p>
        </w:tc>
        <w:tc>
          <w:tcPr>
            <w:tcW w:w="851" w:type="dxa"/>
            <w:vAlign w:val="center"/>
          </w:tcPr>
          <w:p>
            <w:pPr>
              <w:jc w:val="center"/>
              <w:rPr>
                <w:szCs w:val="21"/>
              </w:rPr>
            </w:pPr>
            <w:r>
              <w:rPr>
                <w:rFonts w:hint="eastAsia"/>
                <w:szCs w:val="21"/>
              </w:rPr>
              <w:t>结果维持</w:t>
            </w:r>
          </w:p>
        </w:tc>
        <w:tc>
          <w:tcPr>
            <w:tcW w:w="650" w:type="dxa"/>
            <w:vAlign w:val="center"/>
          </w:tcPr>
          <w:p>
            <w:pPr>
              <w:jc w:val="center"/>
              <w:rPr>
                <w:szCs w:val="21"/>
              </w:rPr>
            </w:pPr>
            <w:r>
              <w:rPr>
                <w:rFonts w:hint="eastAsia"/>
                <w:szCs w:val="21"/>
              </w:rPr>
              <w:t>结果纠正</w:t>
            </w:r>
          </w:p>
        </w:tc>
        <w:tc>
          <w:tcPr>
            <w:tcW w:w="767" w:type="dxa"/>
            <w:vAlign w:val="center"/>
          </w:tcPr>
          <w:p>
            <w:pPr>
              <w:jc w:val="center"/>
              <w:rPr>
                <w:szCs w:val="21"/>
              </w:rPr>
            </w:pPr>
            <w:r>
              <w:rPr>
                <w:rFonts w:hint="eastAsia"/>
                <w:szCs w:val="21"/>
              </w:rPr>
              <w:t>其他结果</w:t>
            </w:r>
          </w:p>
        </w:tc>
        <w:tc>
          <w:tcPr>
            <w:tcW w:w="709"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09" w:type="dxa"/>
            <w:vAlign w:val="center"/>
          </w:tcPr>
          <w:p>
            <w:pPr>
              <w:rPr>
                <w:sz w:val="18"/>
                <w:szCs w:val="18"/>
              </w:rPr>
            </w:pPr>
            <w:r>
              <w:rPr>
                <w:rFonts w:hint="eastAsia"/>
                <w:sz w:val="18"/>
                <w:szCs w:val="18"/>
              </w:rPr>
              <w:t>0</w:t>
            </w:r>
          </w:p>
        </w:tc>
        <w:tc>
          <w:tcPr>
            <w:tcW w:w="708" w:type="dxa"/>
            <w:vAlign w:val="center"/>
          </w:tcPr>
          <w:p>
            <w:pPr>
              <w:rPr>
                <w:sz w:val="18"/>
                <w:szCs w:val="18"/>
              </w:rPr>
            </w:pPr>
            <w:r>
              <w:rPr>
                <w:rFonts w:hint="eastAsia"/>
                <w:sz w:val="18"/>
                <w:szCs w:val="18"/>
              </w:rPr>
              <w:t>0</w:t>
            </w:r>
          </w:p>
        </w:tc>
        <w:tc>
          <w:tcPr>
            <w:tcW w:w="709" w:type="dxa"/>
            <w:vAlign w:val="center"/>
          </w:tcPr>
          <w:p>
            <w:pPr>
              <w:rPr>
                <w:sz w:val="18"/>
                <w:szCs w:val="18"/>
              </w:rPr>
            </w:pPr>
            <w:r>
              <w:rPr>
                <w:rFonts w:hint="eastAsia"/>
                <w:sz w:val="18"/>
                <w:szCs w:val="18"/>
              </w:rPr>
              <w:t>0</w:t>
            </w:r>
          </w:p>
        </w:tc>
        <w:tc>
          <w:tcPr>
            <w:tcW w:w="682" w:type="dxa"/>
            <w:vAlign w:val="center"/>
          </w:tcPr>
          <w:p>
            <w:pPr>
              <w:rPr>
                <w:szCs w:val="21"/>
              </w:rPr>
            </w:pPr>
            <w:r>
              <w:rPr>
                <w:rFonts w:hint="eastAsia"/>
                <w:szCs w:val="21"/>
              </w:rPr>
              <w:t>0</w:t>
            </w:r>
          </w:p>
        </w:tc>
        <w:tc>
          <w:tcPr>
            <w:tcW w:w="594"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708" w:type="dxa"/>
            <w:vAlign w:val="center"/>
          </w:tcPr>
          <w:p>
            <w:pPr>
              <w:rPr>
                <w:szCs w:val="21"/>
              </w:rPr>
            </w:pPr>
            <w:r>
              <w:rPr>
                <w:rFonts w:hint="eastAsia"/>
                <w:szCs w:val="21"/>
              </w:rPr>
              <w:t>0</w:t>
            </w:r>
          </w:p>
        </w:tc>
        <w:tc>
          <w:tcPr>
            <w:tcW w:w="567" w:type="dxa"/>
            <w:vAlign w:val="center"/>
          </w:tcPr>
          <w:p>
            <w:pPr>
              <w:rPr>
                <w:szCs w:val="21"/>
              </w:rPr>
            </w:pPr>
            <w:r>
              <w:rPr>
                <w:rFonts w:hint="eastAsia"/>
                <w:szCs w:val="21"/>
              </w:rPr>
              <w:t>0</w:t>
            </w:r>
          </w:p>
        </w:tc>
        <w:tc>
          <w:tcPr>
            <w:tcW w:w="851" w:type="dxa"/>
            <w:vAlign w:val="center"/>
          </w:tcPr>
          <w:p>
            <w:pPr>
              <w:rPr>
                <w:szCs w:val="21"/>
              </w:rPr>
            </w:pPr>
            <w:r>
              <w:rPr>
                <w:rFonts w:hint="eastAsia"/>
                <w:szCs w:val="21"/>
              </w:rPr>
              <w:t>0</w:t>
            </w:r>
          </w:p>
        </w:tc>
        <w:tc>
          <w:tcPr>
            <w:tcW w:w="650" w:type="dxa"/>
            <w:vAlign w:val="center"/>
          </w:tcPr>
          <w:p>
            <w:pPr>
              <w:rPr>
                <w:szCs w:val="21"/>
              </w:rPr>
            </w:pPr>
            <w:r>
              <w:rPr>
                <w:rFonts w:hint="eastAsia"/>
                <w:szCs w:val="21"/>
              </w:rPr>
              <w:t>0</w:t>
            </w:r>
          </w:p>
        </w:tc>
        <w:tc>
          <w:tcPr>
            <w:tcW w:w="767"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425" w:type="dxa"/>
            <w:vAlign w:val="center"/>
          </w:tcPr>
          <w:p>
            <w:pPr>
              <w:rPr>
                <w:szCs w:val="21"/>
              </w:rPr>
            </w:pPr>
            <w:r>
              <w:rPr>
                <w:rFonts w:hint="eastAsia"/>
                <w:szCs w:val="21"/>
              </w:rPr>
              <w:t>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588" w:firstLineChars="196"/>
        <w:textAlignment w:val="auto"/>
        <w:rPr>
          <w:rFonts w:hint="eastAsia" w:ascii="仿宋" w:hAnsi="仿宋" w:eastAsia="仿宋" w:cs="仿宋"/>
          <w:kern w:val="0"/>
          <w:sz w:val="30"/>
          <w:szCs w:val="30"/>
        </w:rPr>
      </w:pPr>
      <w:r>
        <w:rPr>
          <w:rFonts w:hint="eastAsia" w:ascii="仿宋" w:hAnsi="仿宋" w:eastAsia="仿宋" w:cs="仿宋"/>
          <w:kern w:val="0"/>
          <w:sz w:val="30"/>
          <w:szCs w:val="30"/>
        </w:rPr>
        <w:t>2020年，我局</w:t>
      </w:r>
      <w:r>
        <w:rPr>
          <w:rFonts w:hint="default" w:ascii="仿宋_GB2312" w:hAnsi="仿宋_GB2312" w:eastAsia="仿宋_GB2312" w:cs="仿宋_GB2312"/>
          <w:i w:val="0"/>
          <w:caps w:val="0"/>
          <w:color w:val="000000"/>
          <w:spacing w:val="0"/>
          <w:sz w:val="32"/>
          <w:szCs w:val="32"/>
          <w:shd w:val="clear" w:fill="FFFFFF"/>
        </w:rPr>
        <w:t>认真落实政府信息公开工作要求，</w:t>
      </w:r>
      <w:r>
        <w:rPr>
          <w:rFonts w:hint="eastAsia" w:ascii="仿宋" w:hAnsi="仿宋" w:eastAsia="仿宋" w:cs="仿宋"/>
          <w:kern w:val="0"/>
          <w:sz w:val="30"/>
          <w:szCs w:val="30"/>
          <w:lang w:val="en-US" w:eastAsia="zh-CN"/>
        </w:rPr>
        <w:t>相关</w:t>
      </w:r>
      <w:r>
        <w:rPr>
          <w:rFonts w:hint="eastAsia" w:ascii="仿宋" w:hAnsi="仿宋" w:eastAsia="仿宋" w:cs="仿宋"/>
          <w:kern w:val="0"/>
          <w:sz w:val="30"/>
          <w:szCs w:val="30"/>
        </w:rPr>
        <w:t>工作保持平稳有序进行</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取得了一定成效，</w:t>
      </w:r>
      <w:r>
        <w:rPr>
          <w:rFonts w:hint="eastAsia" w:ascii="仿宋" w:hAnsi="仿宋" w:eastAsia="仿宋" w:cs="仿宋"/>
          <w:kern w:val="0"/>
          <w:sz w:val="30"/>
          <w:szCs w:val="30"/>
        </w:rPr>
        <w:t>但仍</w:t>
      </w:r>
      <w:r>
        <w:rPr>
          <w:rFonts w:hint="eastAsia" w:ascii="仿宋" w:hAnsi="仿宋" w:eastAsia="仿宋" w:cs="仿宋"/>
          <w:kern w:val="0"/>
          <w:sz w:val="30"/>
          <w:szCs w:val="30"/>
          <w:lang w:val="en-US" w:eastAsia="zh-CN"/>
        </w:rPr>
        <w:t>存在以下问题不足</w:t>
      </w:r>
      <w:r>
        <w:rPr>
          <w:rFonts w:hint="eastAsia" w:ascii="仿宋" w:hAnsi="仿宋" w:eastAsia="仿宋" w:cs="仿宋"/>
          <w:kern w:val="0"/>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588" w:firstLineChars="196"/>
        <w:textAlignment w:val="auto"/>
        <w:rPr>
          <w:rFonts w:hint="eastAsia" w:ascii="楷体" w:hAnsi="楷体" w:eastAsia="楷体" w:cs="楷体"/>
          <w:kern w:val="0"/>
          <w:sz w:val="30"/>
          <w:szCs w:val="30"/>
        </w:rPr>
      </w:pPr>
      <w:r>
        <w:rPr>
          <w:rFonts w:hint="eastAsia" w:ascii="楷体" w:hAnsi="楷体" w:eastAsia="楷体" w:cs="楷体"/>
          <w:kern w:val="0"/>
          <w:sz w:val="30"/>
          <w:szCs w:val="30"/>
          <w:lang w:eastAsia="zh-CN"/>
        </w:rPr>
        <w:t>（</w:t>
      </w:r>
      <w:r>
        <w:rPr>
          <w:rFonts w:hint="eastAsia" w:ascii="楷体" w:hAnsi="楷体" w:eastAsia="楷体" w:cs="楷体"/>
          <w:kern w:val="0"/>
          <w:sz w:val="30"/>
          <w:szCs w:val="30"/>
          <w:lang w:val="en-US" w:eastAsia="zh-CN"/>
        </w:rPr>
        <w:t>一</w:t>
      </w:r>
      <w:r>
        <w:rPr>
          <w:rFonts w:hint="eastAsia" w:ascii="楷体" w:hAnsi="楷体" w:eastAsia="楷体" w:cs="楷体"/>
          <w:kern w:val="0"/>
          <w:sz w:val="30"/>
          <w:szCs w:val="30"/>
          <w:lang w:eastAsia="zh-CN"/>
        </w:rPr>
        <w:t>）</w:t>
      </w:r>
      <w:r>
        <w:rPr>
          <w:rFonts w:hint="eastAsia" w:ascii="楷体" w:hAnsi="楷体" w:eastAsia="楷体" w:cs="楷体"/>
          <w:kern w:val="0"/>
          <w:sz w:val="30"/>
          <w:szCs w:val="30"/>
        </w:rPr>
        <w:t>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588" w:firstLineChars="196"/>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1、从具体操作层面看，</w:t>
      </w:r>
      <w:r>
        <w:rPr>
          <w:rFonts w:hint="eastAsia" w:ascii="仿宋" w:hAnsi="仿宋" w:eastAsia="仿宋" w:cs="仿宋"/>
          <w:kern w:val="0"/>
          <w:sz w:val="30"/>
          <w:szCs w:val="30"/>
        </w:rPr>
        <w:t>政府信息公开</w:t>
      </w:r>
      <w:r>
        <w:rPr>
          <w:rFonts w:hint="eastAsia" w:ascii="仿宋" w:hAnsi="仿宋" w:eastAsia="仿宋" w:cs="仿宋"/>
          <w:kern w:val="0"/>
          <w:sz w:val="30"/>
          <w:szCs w:val="30"/>
          <w:lang w:val="en-US" w:eastAsia="zh-CN"/>
        </w:rPr>
        <w:t>的开展不够扎实细致。</w:t>
      </w:r>
    </w:p>
    <w:p>
      <w:pPr>
        <w:keepNext w:val="0"/>
        <w:keepLines w:val="0"/>
        <w:pageBreakBefore w:val="0"/>
        <w:widowControl w:val="0"/>
        <w:kinsoku/>
        <w:wordWrap/>
        <w:overflowPunct/>
        <w:topLinePunct w:val="0"/>
        <w:autoSpaceDE/>
        <w:autoSpaceDN/>
        <w:bidi w:val="0"/>
        <w:adjustRightInd/>
        <w:snapToGrid/>
        <w:spacing w:line="560" w:lineRule="exact"/>
        <w:ind w:firstLine="588" w:firstLineChars="196"/>
        <w:textAlignment w:val="auto"/>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2、从培训推进层面看，政府信息公开的教育不够及时全面。</w:t>
      </w:r>
    </w:p>
    <w:p>
      <w:pPr>
        <w:keepNext w:val="0"/>
        <w:keepLines w:val="0"/>
        <w:pageBreakBefore w:val="0"/>
        <w:widowControl w:val="0"/>
        <w:kinsoku/>
        <w:wordWrap/>
        <w:overflowPunct/>
        <w:topLinePunct w:val="0"/>
        <w:autoSpaceDE/>
        <w:autoSpaceDN/>
        <w:bidi w:val="0"/>
        <w:adjustRightInd/>
        <w:snapToGrid/>
        <w:spacing w:line="560" w:lineRule="exact"/>
        <w:ind w:firstLine="588" w:firstLineChars="196"/>
        <w:textAlignment w:val="auto"/>
        <w:rPr>
          <w:rFonts w:hint="default" w:ascii="仿宋" w:hAnsi="仿宋" w:eastAsia="仿宋" w:cs="仿宋"/>
          <w:kern w:val="0"/>
          <w:sz w:val="30"/>
          <w:szCs w:val="30"/>
          <w:lang w:val="en-US"/>
        </w:rPr>
      </w:pPr>
      <w:r>
        <w:rPr>
          <w:rFonts w:hint="eastAsia" w:ascii="仿宋" w:hAnsi="仿宋" w:eastAsia="仿宋" w:cs="仿宋"/>
          <w:kern w:val="0"/>
          <w:sz w:val="30"/>
          <w:szCs w:val="30"/>
          <w:lang w:val="en-US" w:eastAsia="zh-CN"/>
        </w:rPr>
        <w:t>3、从宣传引导层面看，政府信息公开的服务不够特色鲜明。</w:t>
      </w:r>
    </w:p>
    <w:p>
      <w:pPr>
        <w:keepNext w:val="0"/>
        <w:keepLines w:val="0"/>
        <w:pageBreakBefore w:val="0"/>
        <w:widowControl w:val="0"/>
        <w:kinsoku/>
        <w:wordWrap/>
        <w:overflowPunct/>
        <w:topLinePunct w:val="0"/>
        <w:autoSpaceDE/>
        <w:autoSpaceDN/>
        <w:bidi w:val="0"/>
        <w:adjustRightInd/>
        <w:snapToGrid/>
        <w:spacing w:line="560" w:lineRule="exact"/>
        <w:ind w:firstLine="588" w:firstLineChars="196"/>
        <w:textAlignment w:val="auto"/>
        <w:rPr>
          <w:rFonts w:hint="eastAsia" w:ascii="楷体" w:hAnsi="楷体" w:eastAsia="楷体" w:cs="楷体"/>
          <w:kern w:val="0"/>
          <w:sz w:val="30"/>
          <w:szCs w:val="30"/>
          <w:lang w:eastAsia="zh-CN"/>
        </w:rPr>
      </w:pPr>
      <w:r>
        <w:rPr>
          <w:rFonts w:hint="eastAsia" w:ascii="楷体" w:hAnsi="楷体" w:eastAsia="楷体" w:cs="楷体"/>
          <w:kern w:val="0"/>
          <w:sz w:val="30"/>
          <w:szCs w:val="30"/>
          <w:lang w:eastAsia="zh-CN"/>
        </w:rPr>
        <w:t>（</w:t>
      </w:r>
      <w:r>
        <w:rPr>
          <w:rFonts w:hint="eastAsia" w:ascii="楷体" w:hAnsi="楷体" w:eastAsia="楷体" w:cs="楷体"/>
          <w:kern w:val="0"/>
          <w:sz w:val="30"/>
          <w:szCs w:val="30"/>
          <w:lang w:val="en-US" w:eastAsia="zh-CN"/>
        </w:rPr>
        <w:t>二</w:t>
      </w:r>
      <w:r>
        <w:rPr>
          <w:rFonts w:hint="eastAsia" w:ascii="楷体" w:hAnsi="楷体" w:eastAsia="楷体" w:cs="楷体"/>
          <w:kern w:val="0"/>
          <w:sz w:val="30"/>
          <w:szCs w:val="30"/>
          <w:lang w:eastAsia="zh-CN"/>
        </w:rPr>
        <w:t>）改进情况</w:t>
      </w:r>
    </w:p>
    <w:p>
      <w:pPr>
        <w:keepNext w:val="0"/>
        <w:keepLines w:val="0"/>
        <w:pageBreakBefore w:val="0"/>
        <w:widowControl w:val="0"/>
        <w:kinsoku/>
        <w:wordWrap/>
        <w:overflowPunct/>
        <w:topLinePunct w:val="0"/>
        <w:autoSpaceDE/>
        <w:autoSpaceDN/>
        <w:bidi w:val="0"/>
        <w:adjustRightInd/>
        <w:snapToGrid/>
        <w:spacing w:line="560" w:lineRule="exact"/>
        <w:ind w:firstLine="588" w:firstLineChars="196"/>
        <w:textAlignment w:val="auto"/>
        <w:rPr>
          <w:rFonts w:hint="default" w:ascii="仿宋" w:hAnsi="仿宋" w:eastAsia="仿宋" w:cs="仿宋"/>
          <w:kern w:val="0"/>
          <w:sz w:val="30"/>
          <w:szCs w:val="30"/>
          <w:lang w:val="en-US" w:eastAsia="zh-CN"/>
        </w:rPr>
      </w:pPr>
      <w:r>
        <w:rPr>
          <w:rFonts w:hint="default" w:ascii="仿宋" w:hAnsi="仿宋" w:eastAsia="仿宋" w:cs="仿宋"/>
          <w:kern w:val="0"/>
          <w:sz w:val="30"/>
          <w:szCs w:val="30"/>
          <w:lang w:val="en-US" w:eastAsia="zh-CN"/>
        </w:rPr>
        <w:t>我局将</w:t>
      </w:r>
      <w:r>
        <w:rPr>
          <w:rFonts w:hint="eastAsia" w:ascii="仿宋" w:hAnsi="仿宋" w:eastAsia="仿宋" w:cs="仿宋"/>
          <w:kern w:val="0"/>
          <w:sz w:val="30"/>
          <w:szCs w:val="30"/>
          <w:lang w:val="en-US" w:eastAsia="zh-CN"/>
        </w:rPr>
        <w:t>继续坚持以公开为常态、不公开为例外，重点</w:t>
      </w:r>
      <w:r>
        <w:rPr>
          <w:rFonts w:hint="default" w:ascii="仿宋" w:hAnsi="仿宋" w:eastAsia="仿宋" w:cs="仿宋"/>
          <w:kern w:val="0"/>
          <w:sz w:val="30"/>
          <w:szCs w:val="30"/>
          <w:lang w:val="en-US" w:eastAsia="zh-CN"/>
        </w:rPr>
        <w:t>从以下方面</w:t>
      </w:r>
      <w:r>
        <w:rPr>
          <w:rFonts w:hint="eastAsia" w:ascii="仿宋" w:hAnsi="仿宋" w:eastAsia="仿宋" w:cs="仿宋"/>
          <w:kern w:val="0"/>
          <w:sz w:val="30"/>
          <w:szCs w:val="30"/>
          <w:lang w:val="en-US" w:eastAsia="zh-CN"/>
        </w:rPr>
        <w:t>推进政府信息公开，擦亮政务服务品牌，持续优化营商环境。</w:t>
      </w:r>
    </w:p>
    <w:p>
      <w:pPr>
        <w:keepNext w:val="0"/>
        <w:keepLines w:val="0"/>
        <w:pageBreakBefore w:val="0"/>
        <w:widowControl w:val="0"/>
        <w:kinsoku/>
        <w:wordWrap/>
        <w:overflowPunct/>
        <w:topLinePunct w:val="0"/>
        <w:autoSpaceDE/>
        <w:autoSpaceDN/>
        <w:bidi w:val="0"/>
        <w:adjustRightInd/>
        <w:snapToGrid/>
        <w:spacing w:line="560" w:lineRule="exact"/>
        <w:ind w:firstLine="588" w:firstLineChars="196"/>
        <w:textAlignment w:val="auto"/>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1、突出做实做细，加强对政府信息公开个性化目录及相关内容的优化设置和更新管理。在抓好主动公开和依申请公开的基础上，努力丰富公开形式，不断扩大公开范围，做到</w:t>
      </w:r>
      <w:r>
        <w:rPr>
          <w:rFonts w:hint="default" w:ascii="仿宋" w:hAnsi="仿宋" w:eastAsia="仿宋" w:cs="仿宋"/>
          <w:kern w:val="0"/>
          <w:sz w:val="30"/>
          <w:szCs w:val="30"/>
          <w:lang w:val="en-US" w:eastAsia="zh-CN"/>
        </w:rPr>
        <w:t>非涉密政务信息依法、有序、及时公开</w:t>
      </w:r>
      <w:r>
        <w:rPr>
          <w:rFonts w:hint="eastAsia" w:ascii="仿宋" w:hAnsi="仿宋" w:eastAsia="仿宋" w:cs="仿宋"/>
          <w:kern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88" w:firstLineChars="196"/>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突出与时俱进，加强对干部职工的教育培训。随着政府信息公开顶层设计的不断完善，适时传达学习各级文件要求和先进经验做法，参加政务公开主管部门组织的专题培训，借助各类平台载体的信息资源，提高全局人员的阳光意识和公开水平。</w:t>
      </w:r>
    </w:p>
    <w:p>
      <w:pPr>
        <w:keepNext w:val="0"/>
        <w:keepLines w:val="0"/>
        <w:pageBreakBefore w:val="0"/>
        <w:widowControl w:val="0"/>
        <w:kinsoku/>
        <w:wordWrap/>
        <w:overflowPunct/>
        <w:topLinePunct w:val="0"/>
        <w:autoSpaceDE/>
        <w:autoSpaceDN/>
        <w:bidi w:val="0"/>
        <w:adjustRightInd/>
        <w:snapToGrid/>
        <w:spacing w:line="560" w:lineRule="exact"/>
        <w:ind w:firstLine="588" w:firstLineChars="196"/>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3、突出高效高质，加强对社会公众的宣传服务。结合投资促进部门职责，</w:t>
      </w:r>
      <w:r>
        <w:rPr>
          <w:rFonts w:hint="default" w:ascii="仿宋" w:hAnsi="仿宋" w:eastAsia="仿宋" w:cs="仿宋"/>
          <w:kern w:val="0"/>
          <w:sz w:val="30"/>
          <w:szCs w:val="30"/>
          <w:lang w:val="en-US" w:eastAsia="zh-CN"/>
        </w:rPr>
        <w:t>主动</w:t>
      </w:r>
      <w:r>
        <w:rPr>
          <w:rFonts w:hint="eastAsia" w:ascii="仿宋" w:hAnsi="仿宋" w:eastAsia="仿宋" w:cs="仿宋"/>
          <w:kern w:val="0"/>
          <w:sz w:val="30"/>
          <w:szCs w:val="30"/>
          <w:lang w:val="en-US" w:eastAsia="zh-CN"/>
        </w:rPr>
        <w:t>对接投资者需求，线上全面做好政府</w:t>
      </w:r>
      <w:r>
        <w:rPr>
          <w:rFonts w:hint="default" w:ascii="仿宋" w:hAnsi="仿宋" w:eastAsia="仿宋" w:cs="仿宋"/>
          <w:kern w:val="0"/>
          <w:sz w:val="30"/>
          <w:szCs w:val="30"/>
          <w:lang w:val="en-US" w:eastAsia="zh-CN"/>
        </w:rPr>
        <w:t>信息公开，</w:t>
      </w:r>
      <w:r>
        <w:rPr>
          <w:rFonts w:hint="eastAsia" w:ascii="仿宋" w:hAnsi="仿宋" w:eastAsia="仿宋" w:cs="仿宋"/>
          <w:kern w:val="0"/>
          <w:sz w:val="30"/>
          <w:szCs w:val="30"/>
          <w:lang w:val="en-US" w:eastAsia="zh-CN"/>
        </w:rPr>
        <w:t>线下灵活开展政策宣讲解读，</w:t>
      </w:r>
      <w:r>
        <w:rPr>
          <w:rFonts w:hint="default" w:ascii="仿宋" w:hAnsi="仿宋" w:eastAsia="仿宋" w:cs="仿宋"/>
          <w:kern w:val="0"/>
          <w:sz w:val="30"/>
          <w:szCs w:val="30"/>
          <w:lang w:val="en-US" w:eastAsia="zh-CN"/>
        </w:rPr>
        <w:t>接受社会监督，</w:t>
      </w:r>
      <w:r>
        <w:rPr>
          <w:rFonts w:hint="eastAsia" w:ascii="仿宋" w:hAnsi="仿宋" w:eastAsia="仿宋" w:cs="仿宋"/>
          <w:kern w:val="0"/>
          <w:sz w:val="30"/>
          <w:szCs w:val="30"/>
          <w:lang w:val="en-US" w:eastAsia="zh-CN"/>
        </w:rPr>
        <w:t>采纳企业诉求，让服务更加有温度，接地气。</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六、</w:t>
      </w:r>
      <w:r>
        <w:rPr>
          <w:rFonts w:hint="eastAsia" w:ascii="黑体" w:hAnsi="黑体" w:eastAsia="黑体" w:cs="黑体"/>
          <w:b w:val="0"/>
          <w:bCs/>
          <w:sz w:val="28"/>
          <w:szCs w:val="28"/>
        </w:rPr>
        <w:t>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588" w:firstLineChars="196"/>
        <w:textAlignment w:val="auto"/>
        <w:rPr>
          <w:rFonts w:ascii="仿宋_GB2312" w:hAnsi="宋体" w:eastAsia="仿宋_GB2312" w:cs="Arial"/>
          <w:kern w:val="0"/>
          <w:sz w:val="30"/>
          <w:szCs w:val="30"/>
        </w:rPr>
      </w:pPr>
      <w:r>
        <w:rPr>
          <w:rFonts w:hint="eastAsia" w:ascii="仿宋" w:hAnsi="仿宋" w:eastAsia="仿宋" w:cs="仿宋"/>
          <w:kern w:val="0"/>
          <w:sz w:val="30"/>
          <w:szCs w:val="30"/>
        </w:rPr>
        <w:t>无</w:t>
      </w:r>
      <w:r>
        <w:rPr>
          <w:rFonts w:hint="eastAsia" w:ascii="仿宋" w:hAnsi="仿宋" w:eastAsia="仿宋" w:cs="仿宋"/>
          <w:kern w:val="0"/>
          <w:sz w:val="30"/>
          <w:szCs w:val="30"/>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4258"/>
    <w:rsid w:val="0001530B"/>
    <w:rsid w:val="00024810"/>
    <w:rsid w:val="00027FA6"/>
    <w:rsid w:val="000414C6"/>
    <w:rsid w:val="00073DFB"/>
    <w:rsid w:val="00087FF0"/>
    <w:rsid w:val="000E226E"/>
    <w:rsid w:val="00143FE0"/>
    <w:rsid w:val="0015253B"/>
    <w:rsid w:val="001778A7"/>
    <w:rsid w:val="001B19C6"/>
    <w:rsid w:val="00216261"/>
    <w:rsid w:val="002240D4"/>
    <w:rsid w:val="00256B99"/>
    <w:rsid w:val="00270C0E"/>
    <w:rsid w:val="002A188B"/>
    <w:rsid w:val="002B21CF"/>
    <w:rsid w:val="002B5F08"/>
    <w:rsid w:val="002B6F68"/>
    <w:rsid w:val="002E4915"/>
    <w:rsid w:val="00346483"/>
    <w:rsid w:val="003D7EB2"/>
    <w:rsid w:val="00405DB6"/>
    <w:rsid w:val="00420F86"/>
    <w:rsid w:val="00441C74"/>
    <w:rsid w:val="00474B55"/>
    <w:rsid w:val="00481ED7"/>
    <w:rsid w:val="004B201B"/>
    <w:rsid w:val="004D2882"/>
    <w:rsid w:val="005032D5"/>
    <w:rsid w:val="00605A31"/>
    <w:rsid w:val="00697EE4"/>
    <w:rsid w:val="006A1525"/>
    <w:rsid w:val="006B32EF"/>
    <w:rsid w:val="006D482F"/>
    <w:rsid w:val="007119DC"/>
    <w:rsid w:val="00714451"/>
    <w:rsid w:val="00717EE3"/>
    <w:rsid w:val="00732D81"/>
    <w:rsid w:val="00733F31"/>
    <w:rsid w:val="00741A40"/>
    <w:rsid w:val="00746739"/>
    <w:rsid w:val="007611C0"/>
    <w:rsid w:val="00797C52"/>
    <w:rsid w:val="007A1740"/>
    <w:rsid w:val="007E7188"/>
    <w:rsid w:val="007F43FC"/>
    <w:rsid w:val="0081076F"/>
    <w:rsid w:val="0082023E"/>
    <w:rsid w:val="00892DC4"/>
    <w:rsid w:val="00907C09"/>
    <w:rsid w:val="00920A8C"/>
    <w:rsid w:val="00920C7D"/>
    <w:rsid w:val="00935E77"/>
    <w:rsid w:val="00954B18"/>
    <w:rsid w:val="0096093C"/>
    <w:rsid w:val="00980A5A"/>
    <w:rsid w:val="009A160C"/>
    <w:rsid w:val="00A93492"/>
    <w:rsid w:val="00AC222F"/>
    <w:rsid w:val="00AD49B5"/>
    <w:rsid w:val="00AF6191"/>
    <w:rsid w:val="00B05903"/>
    <w:rsid w:val="00B20837"/>
    <w:rsid w:val="00B91D3C"/>
    <w:rsid w:val="00BC4D6B"/>
    <w:rsid w:val="00BD165F"/>
    <w:rsid w:val="00BF42A9"/>
    <w:rsid w:val="00C17C52"/>
    <w:rsid w:val="00C61A42"/>
    <w:rsid w:val="00C73ACB"/>
    <w:rsid w:val="00C762CA"/>
    <w:rsid w:val="00C96416"/>
    <w:rsid w:val="00C9725A"/>
    <w:rsid w:val="00C97595"/>
    <w:rsid w:val="00CA24FE"/>
    <w:rsid w:val="00CE039D"/>
    <w:rsid w:val="00D201BD"/>
    <w:rsid w:val="00D33F3A"/>
    <w:rsid w:val="00D734D4"/>
    <w:rsid w:val="00D7673F"/>
    <w:rsid w:val="00E03F11"/>
    <w:rsid w:val="00E04258"/>
    <w:rsid w:val="00E26D64"/>
    <w:rsid w:val="00E82A61"/>
    <w:rsid w:val="00EA3993"/>
    <w:rsid w:val="00F033C3"/>
    <w:rsid w:val="00F61E64"/>
    <w:rsid w:val="00F643A5"/>
    <w:rsid w:val="00F87711"/>
    <w:rsid w:val="00FA3378"/>
    <w:rsid w:val="00FB329C"/>
    <w:rsid w:val="00FD1993"/>
    <w:rsid w:val="00FD3BAC"/>
    <w:rsid w:val="00FE3091"/>
    <w:rsid w:val="01691EB0"/>
    <w:rsid w:val="018E1CCD"/>
    <w:rsid w:val="021E4355"/>
    <w:rsid w:val="0230686F"/>
    <w:rsid w:val="023E1694"/>
    <w:rsid w:val="02B5340D"/>
    <w:rsid w:val="02ED1F18"/>
    <w:rsid w:val="03A064D2"/>
    <w:rsid w:val="03A35E6A"/>
    <w:rsid w:val="05EB6D5D"/>
    <w:rsid w:val="06CE2D63"/>
    <w:rsid w:val="06E821F9"/>
    <w:rsid w:val="07384FB9"/>
    <w:rsid w:val="07E53322"/>
    <w:rsid w:val="09310EED"/>
    <w:rsid w:val="09887BD5"/>
    <w:rsid w:val="0B164DA0"/>
    <w:rsid w:val="0B22493F"/>
    <w:rsid w:val="0B294649"/>
    <w:rsid w:val="0D4704D4"/>
    <w:rsid w:val="0E526056"/>
    <w:rsid w:val="0E934C29"/>
    <w:rsid w:val="0F7D394F"/>
    <w:rsid w:val="0FEA48E6"/>
    <w:rsid w:val="0FFB5C04"/>
    <w:rsid w:val="106B1FEC"/>
    <w:rsid w:val="11E303DD"/>
    <w:rsid w:val="12D63F3E"/>
    <w:rsid w:val="13412403"/>
    <w:rsid w:val="13425324"/>
    <w:rsid w:val="14957AA7"/>
    <w:rsid w:val="14B464A7"/>
    <w:rsid w:val="14FE0FF1"/>
    <w:rsid w:val="15046E34"/>
    <w:rsid w:val="155B6145"/>
    <w:rsid w:val="16060DBF"/>
    <w:rsid w:val="16737688"/>
    <w:rsid w:val="16C6192A"/>
    <w:rsid w:val="176463AE"/>
    <w:rsid w:val="17D36974"/>
    <w:rsid w:val="189D383D"/>
    <w:rsid w:val="190140C9"/>
    <w:rsid w:val="19534F33"/>
    <w:rsid w:val="1A4F23F7"/>
    <w:rsid w:val="1A5518B9"/>
    <w:rsid w:val="1A8F6614"/>
    <w:rsid w:val="1B0C6FDF"/>
    <w:rsid w:val="1B70596D"/>
    <w:rsid w:val="1B966D93"/>
    <w:rsid w:val="1BCD5B37"/>
    <w:rsid w:val="1C546C64"/>
    <w:rsid w:val="1D133354"/>
    <w:rsid w:val="1E0B6AD1"/>
    <w:rsid w:val="1E3124E4"/>
    <w:rsid w:val="1F9F6D3E"/>
    <w:rsid w:val="20816978"/>
    <w:rsid w:val="226C118A"/>
    <w:rsid w:val="2272129D"/>
    <w:rsid w:val="22A03572"/>
    <w:rsid w:val="235370CE"/>
    <w:rsid w:val="2397740B"/>
    <w:rsid w:val="23C03387"/>
    <w:rsid w:val="23DC3B4A"/>
    <w:rsid w:val="24135167"/>
    <w:rsid w:val="241B46A9"/>
    <w:rsid w:val="248650BE"/>
    <w:rsid w:val="24A52482"/>
    <w:rsid w:val="25443C45"/>
    <w:rsid w:val="25F479F6"/>
    <w:rsid w:val="262E60BB"/>
    <w:rsid w:val="26AC412D"/>
    <w:rsid w:val="26F8522B"/>
    <w:rsid w:val="27352034"/>
    <w:rsid w:val="275649B4"/>
    <w:rsid w:val="27F27AFD"/>
    <w:rsid w:val="2A36742A"/>
    <w:rsid w:val="2AE118E1"/>
    <w:rsid w:val="2B8161A0"/>
    <w:rsid w:val="2C3F3B48"/>
    <w:rsid w:val="2C3F4E91"/>
    <w:rsid w:val="2C9032A2"/>
    <w:rsid w:val="2CC33D1F"/>
    <w:rsid w:val="2CE36613"/>
    <w:rsid w:val="2D884BD5"/>
    <w:rsid w:val="2E0C4A0A"/>
    <w:rsid w:val="30264FD2"/>
    <w:rsid w:val="3055164E"/>
    <w:rsid w:val="307338DB"/>
    <w:rsid w:val="30782D23"/>
    <w:rsid w:val="31CE439B"/>
    <w:rsid w:val="32A53DF2"/>
    <w:rsid w:val="33311F72"/>
    <w:rsid w:val="3445208B"/>
    <w:rsid w:val="34F773A3"/>
    <w:rsid w:val="352F0712"/>
    <w:rsid w:val="354844E8"/>
    <w:rsid w:val="35A639E9"/>
    <w:rsid w:val="35DB48FE"/>
    <w:rsid w:val="35E643F1"/>
    <w:rsid w:val="35F06501"/>
    <w:rsid w:val="3635003F"/>
    <w:rsid w:val="36491727"/>
    <w:rsid w:val="3679484B"/>
    <w:rsid w:val="36B012C2"/>
    <w:rsid w:val="36F42A35"/>
    <w:rsid w:val="376062A9"/>
    <w:rsid w:val="3776637C"/>
    <w:rsid w:val="381A4A46"/>
    <w:rsid w:val="394F7EB2"/>
    <w:rsid w:val="3A8D4750"/>
    <w:rsid w:val="3BAB7AC8"/>
    <w:rsid w:val="3D4323CF"/>
    <w:rsid w:val="3E0E1AAB"/>
    <w:rsid w:val="3E883E00"/>
    <w:rsid w:val="3E9F1286"/>
    <w:rsid w:val="3F6F63B1"/>
    <w:rsid w:val="40026432"/>
    <w:rsid w:val="404718B5"/>
    <w:rsid w:val="40D71AB7"/>
    <w:rsid w:val="41203D48"/>
    <w:rsid w:val="4189093E"/>
    <w:rsid w:val="4249457C"/>
    <w:rsid w:val="445A720E"/>
    <w:rsid w:val="44610185"/>
    <w:rsid w:val="44714BC4"/>
    <w:rsid w:val="4534550F"/>
    <w:rsid w:val="45B82AA1"/>
    <w:rsid w:val="460B499C"/>
    <w:rsid w:val="46807D7A"/>
    <w:rsid w:val="46A2778D"/>
    <w:rsid w:val="46AA6A46"/>
    <w:rsid w:val="47076CC8"/>
    <w:rsid w:val="47253430"/>
    <w:rsid w:val="47563C8E"/>
    <w:rsid w:val="47571BCB"/>
    <w:rsid w:val="481C6EF0"/>
    <w:rsid w:val="483B7AA5"/>
    <w:rsid w:val="48AB53F2"/>
    <w:rsid w:val="48C71DCA"/>
    <w:rsid w:val="48D262AE"/>
    <w:rsid w:val="48EB4398"/>
    <w:rsid w:val="492A2E61"/>
    <w:rsid w:val="4ADD7F5B"/>
    <w:rsid w:val="4AE17643"/>
    <w:rsid w:val="4B02335B"/>
    <w:rsid w:val="4B815CB7"/>
    <w:rsid w:val="4C5C198C"/>
    <w:rsid w:val="4DB94280"/>
    <w:rsid w:val="4DBF2B0B"/>
    <w:rsid w:val="4DD17CE9"/>
    <w:rsid w:val="4DE93206"/>
    <w:rsid w:val="4EE0693A"/>
    <w:rsid w:val="4FB81003"/>
    <w:rsid w:val="4FB972D9"/>
    <w:rsid w:val="4FDE75EC"/>
    <w:rsid w:val="509568E4"/>
    <w:rsid w:val="50B378DA"/>
    <w:rsid w:val="513465BF"/>
    <w:rsid w:val="519C0B85"/>
    <w:rsid w:val="51CB2F06"/>
    <w:rsid w:val="51E7544A"/>
    <w:rsid w:val="522C7427"/>
    <w:rsid w:val="525D19A8"/>
    <w:rsid w:val="52957E0E"/>
    <w:rsid w:val="536741EC"/>
    <w:rsid w:val="54952811"/>
    <w:rsid w:val="54CA318A"/>
    <w:rsid w:val="55137075"/>
    <w:rsid w:val="55772D59"/>
    <w:rsid w:val="55E75213"/>
    <w:rsid w:val="55FF61F8"/>
    <w:rsid w:val="56CF041E"/>
    <w:rsid w:val="57435366"/>
    <w:rsid w:val="579D2C1B"/>
    <w:rsid w:val="585A1C6D"/>
    <w:rsid w:val="58B34DA3"/>
    <w:rsid w:val="58C26E10"/>
    <w:rsid w:val="591372F9"/>
    <w:rsid w:val="591B7258"/>
    <w:rsid w:val="59605478"/>
    <w:rsid w:val="5A1B5D81"/>
    <w:rsid w:val="5A2A1759"/>
    <w:rsid w:val="5A3C0C54"/>
    <w:rsid w:val="5ADA059F"/>
    <w:rsid w:val="5AE44C01"/>
    <w:rsid w:val="5BC6400D"/>
    <w:rsid w:val="5C11447E"/>
    <w:rsid w:val="5C474BDF"/>
    <w:rsid w:val="5C620EA1"/>
    <w:rsid w:val="5C880C94"/>
    <w:rsid w:val="5C8B7657"/>
    <w:rsid w:val="5CD11A6F"/>
    <w:rsid w:val="5D9657CA"/>
    <w:rsid w:val="5E007B5B"/>
    <w:rsid w:val="5E782708"/>
    <w:rsid w:val="5F0E3D3F"/>
    <w:rsid w:val="5F573766"/>
    <w:rsid w:val="60525D1F"/>
    <w:rsid w:val="60C433B9"/>
    <w:rsid w:val="62131F25"/>
    <w:rsid w:val="6241288D"/>
    <w:rsid w:val="62AE3B13"/>
    <w:rsid w:val="62DC0571"/>
    <w:rsid w:val="6338259B"/>
    <w:rsid w:val="64E178B9"/>
    <w:rsid w:val="64ED7B86"/>
    <w:rsid w:val="65580DDC"/>
    <w:rsid w:val="658547CC"/>
    <w:rsid w:val="66C0400F"/>
    <w:rsid w:val="66E34D79"/>
    <w:rsid w:val="671F39AE"/>
    <w:rsid w:val="67250DF6"/>
    <w:rsid w:val="67E07A4D"/>
    <w:rsid w:val="67FA66C9"/>
    <w:rsid w:val="68374E8A"/>
    <w:rsid w:val="68AD068B"/>
    <w:rsid w:val="6A1E3E77"/>
    <w:rsid w:val="6A2B4B4C"/>
    <w:rsid w:val="6A6105F0"/>
    <w:rsid w:val="6AA65AD0"/>
    <w:rsid w:val="6B511D44"/>
    <w:rsid w:val="6CDE7E6A"/>
    <w:rsid w:val="6D033B5F"/>
    <w:rsid w:val="6D1735F8"/>
    <w:rsid w:val="6D677234"/>
    <w:rsid w:val="6D7B0E96"/>
    <w:rsid w:val="6D9F6A73"/>
    <w:rsid w:val="6EFD6624"/>
    <w:rsid w:val="6F3C1157"/>
    <w:rsid w:val="6F55049F"/>
    <w:rsid w:val="6F7E1C94"/>
    <w:rsid w:val="6FB15C2B"/>
    <w:rsid w:val="6FC761DB"/>
    <w:rsid w:val="701C1CE5"/>
    <w:rsid w:val="70C44BFB"/>
    <w:rsid w:val="70E3545D"/>
    <w:rsid w:val="72050B94"/>
    <w:rsid w:val="72446110"/>
    <w:rsid w:val="724E6660"/>
    <w:rsid w:val="732F1D7D"/>
    <w:rsid w:val="734C4CD2"/>
    <w:rsid w:val="73D8144D"/>
    <w:rsid w:val="73DD2D16"/>
    <w:rsid w:val="74263673"/>
    <w:rsid w:val="752E6364"/>
    <w:rsid w:val="75323507"/>
    <w:rsid w:val="756B1BC6"/>
    <w:rsid w:val="75793022"/>
    <w:rsid w:val="757D42C4"/>
    <w:rsid w:val="75DA265C"/>
    <w:rsid w:val="76E17C58"/>
    <w:rsid w:val="7733281F"/>
    <w:rsid w:val="77A84620"/>
    <w:rsid w:val="792159AF"/>
    <w:rsid w:val="79A86216"/>
    <w:rsid w:val="79BF1E13"/>
    <w:rsid w:val="7A037895"/>
    <w:rsid w:val="7A536452"/>
    <w:rsid w:val="7A5B6C7D"/>
    <w:rsid w:val="7A607A33"/>
    <w:rsid w:val="7B3D33A5"/>
    <w:rsid w:val="7BE95042"/>
    <w:rsid w:val="7BFC6000"/>
    <w:rsid w:val="7C453ACF"/>
    <w:rsid w:val="7C5B6EE7"/>
    <w:rsid w:val="7D4F19A5"/>
    <w:rsid w:val="7D59384E"/>
    <w:rsid w:val="7D9F1CA7"/>
    <w:rsid w:val="7E3C48D2"/>
    <w:rsid w:val="7E995A0B"/>
    <w:rsid w:val="7EBE00B7"/>
    <w:rsid w:val="7EE31204"/>
    <w:rsid w:val="7F243ABF"/>
    <w:rsid w:val="7F4140A5"/>
    <w:rsid w:val="7F422479"/>
    <w:rsid w:val="7F6B1D67"/>
    <w:rsid w:val="7FFD0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semiHidden/>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22"/>
    <w:rPr>
      <w:b/>
    </w:rPr>
  </w:style>
  <w:style w:type="character" w:styleId="10">
    <w:name w:val="FollowedHyperlink"/>
    <w:basedOn w:val="8"/>
    <w:semiHidden/>
    <w:unhideWhenUsed/>
    <w:qFormat/>
    <w:uiPriority w:val="99"/>
    <w:rPr>
      <w:color w:val="000000"/>
      <w:u w:val="none"/>
    </w:rPr>
  </w:style>
  <w:style w:type="character" w:styleId="11">
    <w:name w:val="Hyperlink"/>
    <w:qFormat/>
    <w:uiPriority w:val="0"/>
    <w:rPr>
      <w:color w:val="0000FF"/>
      <w:sz w:val="18"/>
      <w:szCs w:val="18"/>
      <w:u w:val="none"/>
    </w:rPr>
  </w:style>
  <w:style w:type="character" w:customStyle="1" w:styleId="12">
    <w:name w:val="bsharetext"/>
    <w:basedOn w:val="8"/>
    <w:qFormat/>
    <w:uiPriority w:val="0"/>
  </w:style>
  <w:style w:type="character" w:customStyle="1" w:styleId="13">
    <w:name w:val="页眉 Char"/>
    <w:basedOn w:val="8"/>
    <w:link w:val="4"/>
    <w:semiHidden/>
    <w:qFormat/>
    <w:uiPriority w:val="99"/>
    <w:rPr>
      <w:rFonts w:asciiTheme="minorHAnsi" w:hAnsiTheme="minorHAnsi" w:eastAsiaTheme="minorEastAsia" w:cstheme="minorBidi"/>
      <w:kern w:val="2"/>
      <w:sz w:val="18"/>
      <w:szCs w:val="18"/>
    </w:rPr>
  </w:style>
  <w:style w:type="character" w:customStyle="1" w:styleId="14">
    <w:name w:val="页脚 Char"/>
    <w:basedOn w:val="8"/>
    <w:link w:val="3"/>
    <w:semiHidden/>
    <w:qFormat/>
    <w:uiPriority w:val="99"/>
    <w:rPr>
      <w:rFonts w:asciiTheme="minorHAnsi" w:hAnsiTheme="minorHAnsi" w:eastAsiaTheme="minorEastAsia" w:cstheme="minorBidi"/>
      <w:kern w:val="2"/>
      <w:sz w:val="18"/>
      <w:szCs w:val="18"/>
    </w:rPr>
  </w:style>
  <w:style w:type="character" w:customStyle="1" w:styleId="15">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472</Words>
  <Characters>2692</Characters>
  <Lines>22</Lines>
  <Paragraphs>6</Paragraphs>
  <TotalTime>0</TotalTime>
  <ScaleCrop>false</ScaleCrop>
  <LinksUpToDate>false</LinksUpToDate>
  <CharactersWithSpaces>3158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秦晓静</cp:lastModifiedBy>
  <dcterms:modified xsi:type="dcterms:W3CDTF">2021-02-09T03:44:02Z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